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600" w:hRule="atLeast"/>
        </w:trPr>
        <w:tc>
          <w:tcPr>
            <w:tcW w:w="10267" w:type="dxa"/>
          </w:tcPr>
          <w:p>
            <w:pPr>
              <w:pStyle w:val="TableParagraph"/>
              <w:tabs>
                <w:tab w:pos="9979" w:val="left" w:leader="none"/>
              </w:tabs>
              <w:spacing w:line="453" w:lineRule="exact"/>
              <w:ind w:left="669"/>
              <w:rPr>
                <w:rFonts w:ascii="Times New Roman" w:eastAsia="Times New Roman"/>
                <w:sz w:val="28"/>
              </w:rPr>
            </w:pPr>
            <w:r>
              <w:rPr>
                <w:rFonts w:ascii="Microsoft JhengHei" w:eastAsia="Microsoft JhengHei"/>
                <w:b/>
                <w:sz w:val="28"/>
              </w:rPr>
              <w:t>花蓮縣政府</w:t>
            </w:r>
            <w:r>
              <w:rPr>
                <w:rFonts w:ascii="Georgia" w:eastAsia="Georgia"/>
                <w:b/>
                <w:sz w:val="28"/>
              </w:rPr>
              <w:t>(</w:t>
            </w:r>
            <w:r>
              <w:rPr>
                <w:rFonts w:ascii="Microsoft JhengHei" w:eastAsia="Microsoft JhengHei"/>
                <w:b/>
                <w:sz w:val="28"/>
              </w:rPr>
              <w:t>以下簡稱甲方</w:t>
            </w:r>
            <w:r>
              <w:rPr>
                <w:rFonts w:ascii="Georgia" w:eastAsia="Georgia"/>
                <w:b/>
                <w:sz w:val="28"/>
              </w:rPr>
              <w:t>)</w:t>
            </w:r>
            <w:r>
              <w:rPr>
                <w:spacing w:val="-10"/>
                <w:sz w:val="28"/>
              </w:rPr>
              <w:t>及</w:t>
            </w:r>
            <w:r>
              <w:rPr>
                <w:rFonts w:ascii="Times New Roman" w:eastAsia="Times New Roman"/>
                <w:sz w:val="28"/>
                <w:u w:val="single"/>
              </w:rPr>
              <w:tab/>
            </w:r>
          </w:p>
          <w:p>
            <w:pPr>
              <w:pStyle w:val="TableParagraph"/>
              <w:spacing w:line="266" w:lineRule="auto"/>
              <w:ind w:left="107" w:right="343"/>
              <w:rPr>
                <w:sz w:val="28"/>
              </w:rPr>
            </w:pPr>
            <w:r>
              <w:rPr>
                <w:spacing w:val="-2"/>
                <w:sz w:val="28"/>
              </w:rPr>
              <w:t>(特約申請單位，以下簡稱乙方)雙方同意依長期照顧服務法(以下稱本法)、長期</w:t>
            </w:r>
            <w:r>
              <w:rPr>
                <w:spacing w:val="-3"/>
                <w:sz w:val="28"/>
              </w:rPr>
              <w:t>照顧特約管理辦法(以下簡稱特管辦法)、行政程序法及行政罰法、相關法規規定</w:t>
            </w:r>
          </w:p>
          <w:p>
            <w:pPr>
              <w:pStyle w:val="TableParagraph"/>
              <w:spacing w:line="339" w:lineRule="exact"/>
              <w:ind w:left="107"/>
              <w:rPr>
                <w:sz w:val="28"/>
              </w:rPr>
            </w:pPr>
            <w:r>
              <w:rPr>
                <w:spacing w:val="-3"/>
                <w:sz w:val="28"/>
              </w:rPr>
              <w:t>訂定本契約，共同遵守，其條款如下：</w:t>
            </w:r>
          </w:p>
        </w:tc>
      </w:tr>
      <w:tr>
        <w:trPr>
          <w:trHeight w:val="6401"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第一</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契約文件及效</w:t>
            </w:r>
            <w:r>
              <w:rPr>
                <w:rFonts w:ascii="Microsoft JhengHei" w:eastAsia="Microsoft JhengHei"/>
                <w:b/>
                <w:spacing w:val="-10"/>
                <w:sz w:val="28"/>
              </w:rPr>
              <w:t>力</w:t>
            </w:r>
          </w:p>
          <w:p>
            <w:pPr>
              <w:pStyle w:val="TableParagraph"/>
              <w:spacing w:line="348" w:lineRule="exact"/>
              <w:ind w:left="907"/>
              <w:rPr>
                <w:sz w:val="28"/>
              </w:rPr>
            </w:pPr>
            <w:r>
              <w:rPr>
                <w:spacing w:val="-2"/>
                <w:position w:val="14"/>
                <w:sz w:val="14"/>
              </w:rPr>
              <w:t>1</w:t>
            </w:r>
            <w:r>
              <w:rPr>
                <w:spacing w:val="-3"/>
                <w:sz w:val="28"/>
              </w:rPr>
              <w:t>本契約包括下列文件：</w:t>
            </w:r>
          </w:p>
          <w:p>
            <w:pPr>
              <w:pStyle w:val="TableParagraph"/>
              <w:numPr>
                <w:ilvl w:val="0"/>
                <w:numId w:val="1"/>
              </w:numPr>
              <w:tabs>
                <w:tab w:pos="1275" w:val="left" w:leader="none"/>
              </w:tabs>
              <w:spacing w:line="240" w:lineRule="auto" w:before="39" w:after="0"/>
              <w:ind w:left="1275" w:right="0" w:hanging="565"/>
              <w:jc w:val="left"/>
              <w:rPr>
                <w:sz w:val="28"/>
              </w:rPr>
            </w:pPr>
            <w:r>
              <w:rPr>
                <w:spacing w:val="-3"/>
                <w:sz w:val="28"/>
              </w:rPr>
              <w:t>衛生福利部與甲方公告文件及其變更或補充。</w:t>
            </w:r>
          </w:p>
          <w:p>
            <w:pPr>
              <w:pStyle w:val="TableParagraph"/>
              <w:numPr>
                <w:ilvl w:val="0"/>
                <w:numId w:val="1"/>
              </w:numPr>
              <w:tabs>
                <w:tab w:pos="1275" w:val="left" w:leader="none"/>
              </w:tabs>
              <w:spacing w:line="240" w:lineRule="auto" w:before="42" w:after="0"/>
              <w:ind w:left="1275" w:right="0" w:hanging="565"/>
              <w:jc w:val="left"/>
              <w:rPr>
                <w:sz w:val="28"/>
              </w:rPr>
            </w:pPr>
            <w:r>
              <w:rPr>
                <w:spacing w:val="-3"/>
                <w:sz w:val="28"/>
              </w:rPr>
              <w:t>本契約本文、附件及其變更或補充。</w:t>
            </w:r>
          </w:p>
          <w:p>
            <w:pPr>
              <w:pStyle w:val="TableParagraph"/>
              <w:numPr>
                <w:ilvl w:val="0"/>
                <w:numId w:val="1"/>
              </w:numPr>
              <w:tabs>
                <w:tab w:pos="1275" w:val="left" w:leader="none"/>
              </w:tabs>
              <w:spacing w:line="240" w:lineRule="auto" w:before="43" w:after="0"/>
              <w:ind w:left="1275" w:right="0" w:hanging="565"/>
              <w:jc w:val="left"/>
              <w:rPr>
                <w:sz w:val="28"/>
              </w:rPr>
            </w:pPr>
            <w:r>
              <w:rPr>
                <w:spacing w:val="-3"/>
                <w:sz w:val="28"/>
              </w:rPr>
              <w:t>依本契約所提出之履約文件或資料。</w:t>
            </w:r>
          </w:p>
          <w:p>
            <w:pPr>
              <w:pStyle w:val="TableParagraph"/>
              <w:spacing w:before="40"/>
              <w:ind w:left="907"/>
              <w:rPr>
                <w:sz w:val="28"/>
              </w:rPr>
            </w:pPr>
            <w:r>
              <w:rPr>
                <w:position w:val="14"/>
                <w:sz w:val="14"/>
              </w:rPr>
              <w:t>2</w:t>
            </w:r>
            <w:r>
              <w:rPr>
                <w:spacing w:val="-1"/>
                <w:sz w:val="28"/>
              </w:rPr>
              <w:t>本契約文件，包括以書面、錄音、錄影、照相、微縮、電子數位資料或樣</w:t>
            </w:r>
          </w:p>
          <w:p>
            <w:pPr>
              <w:pStyle w:val="TableParagraph"/>
              <w:spacing w:before="42"/>
              <w:ind w:left="347"/>
              <w:rPr>
                <w:sz w:val="28"/>
              </w:rPr>
            </w:pPr>
            <w:r>
              <w:rPr>
                <w:spacing w:val="-3"/>
                <w:sz w:val="28"/>
              </w:rPr>
              <w:t>品等方式呈現之原件或複製品。</w:t>
            </w:r>
          </w:p>
          <w:p>
            <w:pPr>
              <w:pStyle w:val="TableParagraph"/>
              <w:spacing w:line="266" w:lineRule="auto" w:before="42"/>
              <w:ind w:left="347" w:right="104" w:firstLine="559"/>
              <w:rPr>
                <w:sz w:val="28"/>
              </w:rPr>
            </w:pPr>
            <w:r>
              <w:rPr>
                <w:position w:val="14"/>
                <w:sz w:val="14"/>
              </w:rPr>
              <w:t>3</w:t>
            </w:r>
            <w:r>
              <w:rPr>
                <w:spacing w:val="-56"/>
                <w:position w:val="14"/>
                <w:sz w:val="14"/>
              </w:rPr>
              <w:t> </w:t>
            </w:r>
            <w:r>
              <w:rPr>
                <w:spacing w:val="13"/>
                <w:sz w:val="28"/>
              </w:rPr>
              <w:t>本契約文件之一切規定得互為補充，如仍有不明確之處，以甲方解釋為</w:t>
            </w:r>
            <w:r>
              <w:rPr>
                <w:spacing w:val="-2"/>
                <w:sz w:val="28"/>
              </w:rPr>
              <w:t>準。如有爭議，依本法、特管辦法、行政程序法及行政罰法等相關規定處理。</w:t>
            </w:r>
          </w:p>
          <w:p>
            <w:pPr>
              <w:pStyle w:val="TableParagraph"/>
              <w:spacing w:before="3"/>
              <w:ind w:left="907"/>
              <w:rPr>
                <w:sz w:val="28"/>
              </w:rPr>
            </w:pPr>
            <w:r>
              <w:rPr>
                <w:spacing w:val="-2"/>
                <w:position w:val="14"/>
                <w:sz w:val="14"/>
              </w:rPr>
              <w:t>4</w:t>
            </w:r>
            <w:r>
              <w:rPr>
                <w:spacing w:val="-4"/>
                <w:sz w:val="28"/>
              </w:rPr>
              <w:t>本契約文字：</w:t>
            </w:r>
          </w:p>
          <w:p>
            <w:pPr>
              <w:pStyle w:val="TableParagraph"/>
              <w:numPr>
                <w:ilvl w:val="0"/>
                <w:numId w:val="2"/>
              </w:numPr>
              <w:tabs>
                <w:tab w:pos="1275" w:val="left" w:leader="none"/>
              </w:tabs>
              <w:spacing w:line="240" w:lineRule="auto" w:before="42" w:after="0"/>
              <w:ind w:left="1275" w:right="0" w:hanging="565"/>
              <w:jc w:val="left"/>
              <w:rPr>
                <w:sz w:val="28"/>
              </w:rPr>
            </w:pPr>
            <w:r>
              <w:rPr>
                <w:spacing w:val="-3"/>
                <w:sz w:val="28"/>
              </w:rPr>
              <w:t>本契約文字以中文為準。</w:t>
            </w:r>
          </w:p>
          <w:p>
            <w:pPr>
              <w:pStyle w:val="TableParagraph"/>
              <w:numPr>
                <w:ilvl w:val="0"/>
                <w:numId w:val="2"/>
              </w:numPr>
              <w:tabs>
                <w:tab w:pos="1275" w:val="left" w:leader="none"/>
                <w:tab w:pos="1277" w:val="left" w:leader="none"/>
              </w:tabs>
              <w:spacing w:line="268" w:lineRule="auto" w:before="39" w:after="0"/>
              <w:ind w:left="1277" w:right="150" w:hanging="567"/>
              <w:jc w:val="both"/>
              <w:rPr>
                <w:sz w:val="28"/>
              </w:rPr>
            </w:pPr>
            <w:r>
              <w:rPr>
                <w:spacing w:val="-2"/>
                <w:sz w:val="28"/>
              </w:rPr>
              <w:t>本契約所稱申請、報告、同意、指示、核准、通知、解釋及其他類似行為所為之意思表示，除本契約另有規定或當事人同意外，應以中文(正體</w:t>
            </w:r>
            <w:r>
              <w:rPr>
                <w:spacing w:val="-2"/>
                <w:sz w:val="28"/>
              </w:rPr>
              <w:t>字)書面為之。書面之遞交，得以面交簽收、郵寄、傳真或電子資料傳輸至雙方預為約定之人員或處所。</w:t>
            </w:r>
          </w:p>
          <w:p>
            <w:pPr>
              <w:pStyle w:val="TableParagraph"/>
              <w:spacing w:line="333" w:lineRule="exact"/>
              <w:ind w:left="907"/>
              <w:rPr>
                <w:sz w:val="28"/>
              </w:rPr>
            </w:pPr>
            <w:r>
              <w:rPr>
                <w:spacing w:val="-2"/>
                <w:position w:val="14"/>
                <w:sz w:val="14"/>
              </w:rPr>
              <w:t>5</w:t>
            </w:r>
            <w:r>
              <w:rPr>
                <w:spacing w:val="-3"/>
                <w:sz w:val="28"/>
              </w:rPr>
              <w:t>本契約一式四份，甲乙雙方各執二份。</w:t>
            </w:r>
          </w:p>
        </w:tc>
      </w:tr>
      <w:tr>
        <w:trPr>
          <w:trHeight w:val="5601" w:hRule="atLeast"/>
        </w:trPr>
        <w:tc>
          <w:tcPr>
            <w:tcW w:w="10267" w:type="dxa"/>
          </w:tcPr>
          <w:p>
            <w:pPr>
              <w:pStyle w:val="TableParagraph"/>
              <w:tabs>
                <w:tab w:pos="1228" w:val="left" w:leader="none"/>
              </w:tabs>
              <w:spacing w:line="452" w:lineRule="exact"/>
              <w:ind w:left="107"/>
              <w:rPr>
                <w:rFonts w:ascii="Microsoft JhengHei" w:eastAsia="Microsoft JhengHei"/>
                <w:b/>
                <w:sz w:val="28"/>
              </w:rPr>
            </w:pPr>
            <w:r>
              <w:rPr>
                <w:rFonts w:ascii="Microsoft JhengHei" w:eastAsia="Microsoft JhengHei"/>
                <w:b/>
                <w:sz w:val="28"/>
              </w:rPr>
              <w:t>第二</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履約標的及服務區</w:t>
            </w:r>
            <w:r>
              <w:rPr>
                <w:rFonts w:ascii="Microsoft JhengHei" w:eastAsia="Microsoft JhengHei"/>
                <w:b/>
                <w:spacing w:val="-10"/>
                <w:sz w:val="28"/>
              </w:rPr>
              <w:t>域</w:t>
            </w:r>
          </w:p>
          <w:p>
            <w:pPr>
              <w:pStyle w:val="TableParagraph"/>
              <w:spacing w:line="347" w:lineRule="exact"/>
              <w:ind w:left="907"/>
              <w:rPr>
                <w:sz w:val="28"/>
              </w:rPr>
            </w:pPr>
            <w:r>
              <w:rPr>
                <w:position w:val="14"/>
                <w:sz w:val="14"/>
              </w:rPr>
              <w:t>1</w:t>
            </w:r>
            <w:r>
              <w:rPr>
                <w:spacing w:val="-1"/>
                <w:sz w:val="28"/>
              </w:rPr>
              <w:t>符合特管辦法附表一或第四條所列資格者，經甲方審查同意後，始得簽訂</w:t>
            </w:r>
          </w:p>
          <w:p>
            <w:pPr>
              <w:pStyle w:val="TableParagraph"/>
              <w:spacing w:before="42"/>
              <w:ind w:left="347"/>
              <w:rPr>
                <w:sz w:val="28"/>
              </w:rPr>
            </w:pPr>
            <w:r>
              <w:rPr>
                <w:spacing w:val="-3"/>
                <w:sz w:val="28"/>
              </w:rPr>
              <w:t>本契約提供長照服務。</w:t>
            </w:r>
          </w:p>
          <w:p>
            <w:pPr>
              <w:pStyle w:val="TableParagraph"/>
              <w:spacing w:before="2"/>
              <w:ind w:left="907"/>
              <w:rPr>
                <w:sz w:val="32"/>
              </w:rPr>
            </w:pPr>
            <w:r>
              <w:rPr>
                <w:spacing w:val="-2"/>
                <w:position w:val="14"/>
                <w:sz w:val="14"/>
              </w:rPr>
              <w:t>2</w:t>
            </w:r>
            <w:r>
              <w:rPr>
                <w:spacing w:val="-2"/>
                <w:sz w:val="28"/>
              </w:rPr>
              <w:t>本契約履約之服務項目/區域為</w:t>
            </w:r>
            <w:r>
              <w:rPr>
                <w:spacing w:val="-10"/>
                <w:sz w:val="32"/>
              </w:rPr>
              <w:t>：</w:t>
            </w:r>
          </w:p>
          <w:p>
            <w:pPr>
              <w:pStyle w:val="TableParagraph"/>
              <w:spacing w:line="268" w:lineRule="auto" w:before="28"/>
              <w:ind w:left="907" w:right="5186" w:hanging="320"/>
              <w:rPr>
                <w:sz w:val="28"/>
              </w:rPr>
            </w:pPr>
            <w:r>
              <w:rPr>
                <w:spacing w:val="-2"/>
                <w:sz w:val="28"/>
              </w:rPr>
              <w:t>□社區整合型服務中心個案管理服務服務區域:</w:t>
            </w:r>
          </w:p>
          <w:p>
            <w:pPr>
              <w:pStyle w:val="TableParagraph"/>
              <w:spacing w:line="357" w:lineRule="exact"/>
              <w:ind w:left="907"/>
              <w:rPr>
                <w:sz w:val="28"/>
              </w:rPr>
            </w:pPr>
            <w:r>
              <w:rPr>
                <w:spacing w:val="-3"/>
                <w:sz w:val="28"/>
              </w:rPr>
              <w:t>□花蓮市□鳳林鎮□玉里鎮□新城鄉□吉安鄉□壽豐鄉□光復鄉</w:t>
            </w:r>
          </w:p>
          <w:p>
            <w:pPr>
              <w:pStyle w:val="TableParagraph"/>
              <w:spacing w:before="40"/>
              <w:ind w:left="907"/>
              <w:rPr>
                <w:sz w:val="28"/>
              </w:rPr>
            </w:pPr>
            <w:r>
              <w:rPr>
                <w:spacing w:val="-3"/>
                <w:sz w:val="28"/>
              </w:rPr>
              <w:t>□豐濱鄉□瑞穗鄉□富里鄉□秀林鄉□萬榮鄉 □卓溪鄉</w:t>
            </w:r>
          </w:p>
          <w:p>
            <w:pPr>
              <w:pStyle w:val="TableParagraph"/>
              <w:spacing w:before="121"/>
              <w:ind w:left="0"/>
              <w:rPr>
                <w:rFonts w:ascii="Times New Roman"/>
                <w:sz w:val="28"/>
              </w:rPr>
            </w:pPr>
          </w:p>
          <w:p>
            <w:pPr>
              <w:pStyle w:val="TableParagraph"/>
              <w:spacing w:line="266" w:lineRule="auto"/>
              <w:ind w:left="895" w:right="5462" w:hanging="305"/>
              <w:rPr>
                <w:sz w:val="28"/>
              </w:rPr>
            </w:pPr>
            <w:r>
              <w:rPr>
                <w:spacing w:val="-2"/>
                <w:sz w:val="28"/>
              </w:rPr>
              <w:t>□居家照顧服務、□居家喘息服務服務區域:</w:t>
            </w:r>
          </w:p>
          <w:p>
            <w:pPr>
              <w:pStyle w:val="TableParagraph"/>
              <w:spacing w:before="3"/>
              <w:ind w:left="907"/>
              <w:rPr>
                <w:sz w:val="28"/>
              </w:rPr>
            </w:pPr>
            <w:r>
              <w:rPr>
                <w:spacing w:val="-3"/>
                <w:sz w:val="28"/>
              </w:rPr>
              <w:t>□花蓮市□鳳林鎮□玉里鎮□新城鄉□吉安鄉□壽豐鄉□光復鄉</w:t>
            </w:r>
          </w:p>
          <w:p>
            <w:pPr>
              <w:pStyle w:val="TableParagraph"/>
              <w:spacing w:before="42"/>
              <w:ind w:left="907"/>
              <w:rPr>
                <w:sz w:val="28"/>
              </w:rPr>
            </w:pPr>
            <w:r>
              <w:rPr>
                <w:spacing w:val="-3"/>
                <w:sz w:val="28"/>
              </w:rPr>
              <w:t>□豐濱鄉□瑞穗鄉□富里鄉□秀林鄉□萬榮鄉□卓溪鄉</w:t>
            </w:r>
          </w:p>
        </w:tc>
      </w:tr>
    </w:tbl>
    <w:p>
      <w:pPr>
        <w:rPr>
          <w:sz w:val="2"/>
          <w:szCs w:val="2"/>
        </w:rPr>
      </w:pPr>
      <w:r>
        <w:rPr>
          <w:sz w:val="2"/>
          <w:szCs w:val="2"/>
        </w:rPr>
        <mc:AlternateContent>
          <mc:Choice Requires="wps">
            <w:drawing>
              <wp:anchor distT="0" distB="0" distL="0" distR="0" allowOverlap="1" layoutInCell="1" locked="0" behindDoc="1" simplePos="0" relativeHeight="487163904">
                <wp:simplePos x="0" y="0"/>
                <wp:positionH relativeFrom="page">
                  <wp:posOffset>5426709</wp:posOffset>
                </wp:positionH>
                <wp:positionV relativeFrom="page">
                  <wp:posOffset>8634729</wp:posOffset>
                </wp:positionV>
                <wp:extent cx="2125345" cy="205422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2125345" cy="2054225"/>
                          <a:chExt cx="2125345" cy="2054225"/>
                        </a:xfrm>
                      </wpg:grpSpPr>
                      <wps:wsp>
                        <wps:cNvPr id="3" name="Graphic 3"/>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4" name="Textbox 4"/>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1</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52576" id="docshapegroup2" coordorigin="8546,13598" coordsize="3347,3235">
                <v:shape style="position:absolute;left:8546;top:13598;width:3347;height:3235" id="docshape3" coordorigin="8546,13598" coordsize="3347,3235" path="m11893,13598l8546,16833,11893,16833,11893,13598xe" filled="true" fillcolor="#d2eaf0" stroked="false">
                  <v:path arrowok="t"/>
                  <v:fill type="solid"/>
                </v:shape>
                <v:shape style="position:absolute;left:8546;top:13598;width:3347;height:3235" type="#_x0000_t202" id="docshape4"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1</w:t>
                        </w:r>
                      </w:p>
                    </w:txbxContent>
                  </v:textbox>
                  <w10:wrap type="none"/>
                </v:shape>
                <w10:wrap type="none"/>
              </v:group>
            </w:pict>
          </mc:Fallback>
        </mc:AlternateContent>
      </w:r>
    </w:p>
    <w:p>
      <w:pPr>
        <w:spacing w:after="0"/>
        <w:rPr>
          <w:sz w:val="2"/>
          <w:szCs w:val="2"/>
        </w:rPr>
        <w:sectPr>
          <w:headerReference w:type="default" r:id="rId5"/>
          <w:type w:val="continuous"/>
          <w:pgSz w:w="11910" w:h="16840"/>
          <w:pgMar w:header="882" w:footer="0" w:top="1120" w:bottom="1467" w:left="708" w:right="0"/>
          <w:pgNumType w:start="1"/>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3501" w:hRule="atLeast"/>
        </w:trPr>
        <w:tc>
          <w:tcPr>
            <w:tcW w:w="10267" w:type="dxa"/>
          </w:tcPr>
          <w:p>
            <w:pPr>
              <w:pStyle w:val="TableParagraph"/>
              <w:spacing w:line="268" w:lineRule="auto" w:before="42"/>
              <w:ind w:left="953" w:right="7422" w:hanging="363"/>
              <w:rPr>
                <w:sz w:val="28"/>
              </w:rPr>
            </w:pPr>
            <w:r>
              <w:rPr>
                <w:spacing w:val="-2"/>
                <w:sz w:val="28"/>
              </w:rPr>
              <w:t>□到宅沐浴車服務服務區域:</w:t>
            </w:r>
          </w:p>
          <w:p>
            <w:pPr>
              <w:pStyle w:val="TableParagraph"/>
              <w:spacing w:line="354" w:lineRule="exact"/>
              <w:ind w:left="941"/>
              <w:rPr>
                <w:sz w:val="28"/>
              </w:rPr>
            </w:pPr>
            <w:r>
              <w:rPr>
                <w:spacing w:val="-3"/>
                <w:sz w:val="28"/>
              </w:rPr>
              <w:t>□花蓮市□鳳林鎮□玉里鎮□新城鄉□吉安鄉□壽豐鄉□光復鄉</w:t>
            </w:r>
          </w:p>
          <w:p>
            <w:pPr>
              <w:pStyle w:val="TableParagraph"/>
              <w:spacing w:before="42"/>
              <w:ind w:left="941"/>
              <w:rPr>
                <w:sz w:val="28"/>
              </w:rPr>
            </w:pPr>
            <w:r>
              <w:rPr>
                <w:spacing w:val="-3"/>
                <w:sz w:val="28"/>
              </w:rPr>
              <w:t>□豐濱鄉□瑞穗鄉□富里鄉□秀林鄉□萬榮鄉□卓溪鄉</w:t>
            </w:r>
          </w:p>
          <w:p>
            <w:pPr>
              <w:pStyle w:val="TableParagraph"/>
              <w:spacing w:before="118"/>
              <w:ind w:left="0"/>
              <w:rPr>
                <w:rFonts w:ascii="Times New Roman"/>
                <w:sz w:val="28"/>
              </w:rPr>
            </w:pPr>
          </w:p>
          <w:p>
            <w:pPr>
              <w:pStyle w:val="TableParagraph"/>
              <w:spacing w:line="268" w:lineRule="auto"/>
              <w:ind w:left="907" w:right="7703" w:hanging="320"/>
              <w:rPr>
                <w:sz w:val="28"/>
              </w:rPr>
            </w:pPr>
            <w:r>
              <w:rPr>
                <w:spacing w:val="-2"/>
                <w:sz w:val="28"/>
              </w:rPr>
              <w:t>□日間照顧服務服務區域:</w:t>
            </w:r>
          </w:p>
          <w:p>
            <w:pPr>
              <w:pStyle w:val="TableParagraph"/>
              <w:spacing w:line="357" w:lineRule="exact"/>
              <w:rPr>
                <w:sz w:val="28"/>
              </w:rPr>
            </w:pPr>
            <w:r>
              <w:rPr>
                <w:spacing w:val="-3"/>
                <w:sz w:val="28"/>
              </w:rPr>
              <w:t>□花蓮市□鳳林鎮□玉里鎮□新城鄉□吉安鄉□壽豐鄉□光復鄉</w:t>
            </w:r>
          </w:p>
          <w:p>
            <w:pPr>
              <w:pStyle w:val="TableParagraph"/>
              <w:spacing w:line="352" w:lineRule="exact" w:before="40"/>
              <w:rPr>
                <w:sz w:val="28"/>
              </w:rPr>
            </w:pPr>
            <w:r>
              <w:rPr>
                <w:spacing w:val="-3"/>
                <w:sz w:val="28"/>
              </w:rPr>
              <w:t>□豐濱鄉□瑞穗鄉□富里鄉□秀林鄉□萬榮鄉□卓溪鄉</w:t>
            </w:r>
          </w:p>
          <w:p>
            <w:pPr>
              <w:pStyle w:val="TableParagraph"/>
              <w:tabs>
                <w:tab w:pos="3490" w:val="left" w:leader="none"/>
                <w:tab w:pos="4750" w:val="left" w:leader="none"/>
                <w:tab w:pos="6010" w:val="left" w:leader="none"/>
                <w:tab w:pos="6981" w:val="left" w:leader="none"/>
                <w:tab w:pos="8533" w:val="left" w:leader="none"/>
                <w:tab w:pos="9783" w:val="left" w:leader="none"/>
              </w:tabs>
              <w:spacing w:line="273" w:lineRule="auto"/>
              <w:ind w:left="948" w:right="347" w:firstLine="19"/>
              <w:rPr>
                <w:sz w:val="28"/>
              </w:rPr>
            </w:pPr>
            <w:r>
              <w:rPr>
                <w:spacing w:val="-2"/>
                <w:sz w:val="28"/>
              </w:rPr>
              <w:t>營運時間:每週</w:t>
            </w:r>
            <w:r>
              <w:rPr>
                <w:rFonts w:ascii="Times New Roman" w:eastAsia="Times New Roman"/>
                <w:sz w:val="28"/>
                <w:u w:val="single"/>
              </w:rPr>
              <w:tab/>
            </w:r>
            <w:r>
              <w:rPr>
                <w:spacing w:val="-6"/>
                <w:sz w:val="28"/>
              </w:rPr>
              <w:t>至週</w:t>
            </w:r>
            <w:r>
              <w:rPr>
                <w:rFonts w:ascii="Times New Roman" w:eastAsia="Times New Roman"/>
                <w:sz w:val="28"/>
                <w:u w:val="single"/>
              </w:rPr>
              <w:tab/>
            </w:r>
            <w:r>
              <w:rPr>
                <w:spacing w:val="-6"/>
                <w:sz w:val="28"/>
              </w:rPr>
              <w:t>上午</w:t>
            </w:r>
            <w:r>
              <w:rPr>
                <w:sz w:val="28"/>
                <w:u w:val="single"/>
              </w:rPr>
              <w:tab/>
            </w:r>
            <w:r>
              <w:rPr>
                <w:spacing w:val="-10"/>
                <w:sz w:val="28"/>
              </w:rPr>
              <w:t>:</w:t>
            </w:r>
            <w:r>
              <w:rPr>
                <w:sz w:val="28"/>
                <w:u w:val="single"/>
              </w:rPr>
              <w:tab/>
            </w:r>
            <w:r>
              <w:rPr>
                <w:spacing w:val="-4"/>
                <w:sz w:val="28"/>
              </w:rPr>
              <w:t>至下午</w:t>
            </w:r>
            <w:r>
              <w:rPr>
                <w:rFonts w:ascii="Times New Roman" w:eastAsia="Times New Roman"/>
                <w:sz w:val="28"/>
                <w:u w:val="single"/>
              </w:rPr>
              <w:tab/>
            </w:r>
            <w:r>
              <w:rPr>
                <w:sz w:val="28"/>
              </w:rPr>
              <w:t>: </w:t>
            </w:r>
            <w:r>
              <w:rPr>
                <w:sz w:val="28"/>
                <w:u w:val="single"/>
              </w:rPr>
              <w:tab/>
            </w:r>
            <w:r>
              <w:rPr>
                <w:sz w:val="28"/>
              </w:rPr>
              <w:t> </w:t>
            </w:r>
            <w:r>
              <w:rPr>
                <w:spacing w:val="-2"/>
                <w:sz w:val="28"/>
              </w:rPr>
              <w:t>不含國定假日，如遇國定假日或颱風等特殊狀況或其他因素，依本縣縣政府宣布停班得暫停服務。</w:t>
            </w:r>
          </w:p>
          <w:p>
            <w:pPr>
              <w:pStyle w:val="TableParagraph"/>
              <w:spacing w:before="65"/>
              <w:ind w:left="0"/>
              <w:rPr>
                <w:rFonts w:ascii="Times New Roman"/>
                <w:sz w:val="28"/>
              </w:rPr>
            </w:pPr>
          </w:p>
          <w:p>
            <w:pPr>
              <w:pStyle w:val="TableParagraph"/>
              <w:spacing w:line="352" w:lineRule="exact"/>
              <w:ind w:left="588"/>
              <w:rPr>
                <w:sz w:val="28"/>
              </w:rPr>
            </w:pPr>
            <w:r>
              <w:rPr>
                <w:spacing w:val="-3"/>
                <w:sz w:val="28"/>
              </w:rPr>
              <w:t>□小規模多機能服務</w:t>
            </w:r>
          </w:p>
          <w:p>
            <w:pPr>
              <w:pStyle w:val="TableParagraph"/>
              <w:spacing w:line="242" w:lineRule="auto"/>
              <w:ind w:left="907" w:right="246"/>
              <w:rPr>
                <w:sz w:val="28"/>
              </w:rPr>
            </w:pPr>
            <w:r>
              <w:rPr>
                <w:spacing w:val="-2"/>
                <w:sz w:val="28"/>
              </w:rPr>
              <w:t>(含日間照顧中心喘息服務、夜間喘息服務及小規模多機能服務對象之居家</w:t>
            </w:r>
            <w:r>
              <w:rPr>
                <w:spacing w:val="-4"/>
                <w:sz w:val="28"/>
              </w:rPr>
              <w:t>服務)</w:t>
            </w:r>
          </w:p>
          <w:p>
            <w:pPr>
              <w:pStyle w:val="TableParagraph"/>
              <w:rPr>
                <w:sz w:val="28"/>
              </w:rPr>
            </w:pPr>
            <w:r>
              <w:rPr>
                <w:spacing w:val="-4"/>
                <w:sz w:val="28"/>
              </w:rPr>
              <w:t>服務區域:</w:t>
            </w:r>
          </w:p>
          <w:p>
            <w:pPr>
              <w:pStyle w:val="TableParagraph"/>
              <w:spacing w:before="2"/>
              <w:rPr>
                <w:sz w:val="28"/>
              </w:rPr>
            </w:pPr>
            <w:r>
              <w:rPr>
                <w:spacing w:val="-3"/>
                <w:sz w:val="28"/>
              </w:rPr>
              <w:t>□花蓮市□鳳林鎮□玉里鎮□新城鄉□吉安鄉□壽豐鄉□光復鄉</w:t>
            </w:r>
          </w:p>
          <w:p>
            <w:pPr>
              <w:pStyle w:val="TableParagraph"/>
              <w:spacing w:before="6"/>
              <w:rPr>
                <w:sz w:val="28"/>
              </w:rPr>
            </w:pPr>
            <w:r>
              <w:rPr>
                <w:spacing w:val="-3"/>
                <w:sz w:val="28"/>
              </w:rPr>
              <w:t>□豐濱鄉□瑞穗鄉□富里鄉□秀林鄉□萬榮鄉□卓溪鄉</w:t>
            </w:r>
          </w:p>
          <w:p>
            <w:pPr>
              <w:pStyle w:val="TableParagraph"/>
              <w:tabs>
                <w:tab w:pos="3348" w:val="left" w:leader="none"/>
                <w:tab w:pos="4608" w:val="left" w:leader="none"/>
                <w:tab w:pos="6010" w:val="left" w:leader="none"/>
                <w:tab w:pos="6850" w:val="left" w:leader="none"/>
                <w:tab w:pos="8533" w:val="left" w:leader="none"/>
                <w:tab w:pos="9783" w:val="left" w:leader="none"/>
              </w:tabs>
              <w:spacing w:line="244" w:lineRule="auto" w:before="4"/>
              <w:ind w:left="828" w:right="191"/>
              <w:rPr>
                <w:sz w:val="28"/>
              </w:rPr>
            </w:pPr>
            <w:r>
              <w:rPr>
                <w:spacing w:val="-2"/>
                <w:sz w:val="28"/>
              </w:rPr>
              <w:t>營運時間:每週</w:t>
            </w:r>
            <w:r>
              <w:rPr>
                <w:rFonts w:ascii="Times New Roman" w:eastAsia="Times New Roman"/>
                <w:sz w:val="28"/>
                <w:u w:val="single"/>
              </w:rPr>
              <w:tab/>
            </w:r>
            <w:r>
              <w:rPr>
                <w:spacing w:val="-6"/>
                <w:sz w:val="28"/>
              </w:rPr>
              <w:t>至週</w:t>
            </w:r>
            <w:r>
              <w:rPr>
                <w:rFonts w:ascii="Times New Roman" w:eastAsia="Times New Roman"/>
                <w:sz w:val="28"/>
                <w:u w:val="single"/>
              </w:rPr>
              <w:tab/>
            </w:r>
            <w:r>
              <w:rPr>
                <w:spacing w:val="-6"/>
                <w:sz w:val="28"/>
              </w:rPr>
              <w:t>上午</w:t>
            </w:r>
            <w:r>
              <w:rPr>
                <w:sz w:val="28"/>
                <w:u w:val="single"/>
              </w:rPr>
              <w:tab/>
            </w:r>
            <w:r>
              <w:rPr>
                <w:spacing w:val="-10"/>
                <w:sz w:val="28"/>
              </w:rPr>
              <w:t>:</w:t>
            </w:r>
            <w:r>
              <w:rPr>
                <w:rFonts w:ascii="Times New Roman" w:eastAsia="Times New Roman"/>
                <w:sz w:val="28"/>
                <w:u w:val="single"/>
              </w:rPr>
              <w:tab/>
            </w:r>
            <w:r>
              <w:rPr>
                <w:spacing w:val="-4"/>
                <w:sz w:val="28"/>
              </w:rPr>
              <w:t>至下午</w:t>
            </w:r>
            <w:r>
              <w:rPr>
                <w:rFonts w:ascii="Times New Roman" w:eastAsia="Times New Roman"/>
                <w:sz w:val="28"/>
                <w:u w:val="single"/>
              </w:rPr>
              <w:tab/>
            </w:r>
            <w:r>
              <w:rPr>
                <w:spacing w:val="-10"/>
                <w:sz w:val="28"/>
              </w:rPr>
              <w:t>:</w:t>
            </w:r>
            <w:r>
              <w:rPr>
                <w:sz w:val="28"/>
                <w:u w:val="single"/>
              </w:rPr>
              <w:tab/>
            </w:r>
            <w:r>
              <w:rPr>
                <w:sz w:val="28"/>
              </w:rPr>
              <w:t> </w:t>
            </w:r>
            <w:r>
              <w:rPr>
                <w:spacing w:val="-2"/>
                <w:sz w:val="28"/>
              </w:rPr>
              <w:t>不含國定假日，如遇國定假日或颱風等特殊狀況或其他因素，依本縣縣政府宣布停班得暫停服務。</w:t>
            </w:r>
          </w:p>
          <w:p>
            <w:pPr>
              <w:pStyle w:val="TableParagraph"/>
              <w:numPr>
                <w:ilvl w:val="0"/>
                <w:numId w:val="3"/>
              </w:numPr>
              <w:tabs>
                <w:tab w:pos="1292" w:val="left" w:leader="none"/>
              </w:tabs>
              <w:spacing w:line="355" w:lineRule="exact" w:before="0" w:after="0"/>
              <w:ind w:left="1292" w:right="0" w:hanging="404"/>
              <w:jc w:val="left"/>
              <w:rPr>
                <w:sz w:val="28"/>
              </w:rPr>
            </w:pPr>
            <w:r>
              <w:rPr>
                <w:spacing w:val="-3"/>
                <w:sz w:val="28"/>
              </w:rPr>
              <w:t>每人每月臨時住宿不得超過十五日。</w:t>
            </w:r>
          </w:p>
          <w:p>
            <w:pPr>
              <w:pStyle w:val="TableParagraph"/>
              <w:numPr>
                <w:ilvl w:val="0"/>
                <w:numId w:val="3"/>
              </w:numPr>
              <w:tabs>
                <w:tab w:pos="1291" w:val="left" w:leader="none"/>
                <w:tab w:pos="1293" w:val="left" w:leader="none"/>
              </w:tabs>
              <w:spacing w:line="242" w:lineRule="auto" w:before="6" w:after="0"/>
              <w:ind w:left="1293" w:right="490" w:hanging="406"/>
              <w:jc w:val="left"/>
              <w:rPr>
                <w:sz w:val="28"/>
              </w:rPr>
            </w:pPr>
            <w:r>
              <w:rPr>
                <w:spacing w:val="-4"/>
                <w:sz w:val="28"/>
              </w:rPr>
              <w:t>小規模多機能服務夜間喘息須符合長期照顧服務申請及給付辦法 </w:t>
            </w:r>
            <w:r>
              <w:rPr>
                <w:spacing w:val="-2"/>
                <w:sz w:val="28"/>
              </w:rPr>
              <w:t>GA06碼別之規定。</w:t>
            </w:r>
          </w:p>
          <w:p>
            <w:pPr>
              <w:pStyle w:val="TableParagraph"/>
              <w:spacing w:before="100"/>
              <w:ind w:left="0"/>
              <w:rPr>
                <w:rFonts w:ascii="Times New Roman"/>
                <w:sz w:val="28"/>
              </w:rPr>
            </w:pPr>
          </w:p>
          <w:p>
            <w:pPr>
              <w:pStyle w:val="TableParagraph"/>
              <w:spacing w:line="266" w:lineRule="auto" w:before="1"/>
              <w:ind w:right="7703" w:hanging="322"/>
              <w:rPr>
                <w:sz w:val="28"/>
              </w:rPr>
            </w:pPr>
            <w:r>
              <w:rPr>
                <w:spacing w:val="-2"/>
                <w:sz w:val="28"/>
              </w:rPr>
              <w:t>□家庭托顧服務</w:t>
            </w:r>
            <w:r>
              <w:rPr>
                <w:spacing w:val="-4"/>
                <w:sz w:val="28"/>
              </w:rPr>
              <w:t>服務區域:</w:t>
            </w:r>
          </w:p>
          <w:p>
            <w:pPr>
              <w:pStyle w:val="TableParagraph"/>
              <w:spacing w:before="3"/>
              <w:rPr>
                <w:sz w:val="28"/>
              </w:rPr>
            </w:pPr>
            <w:r>
              <w:rPr>
                <w:spacing w:val="-3"/>
                <w:sz w:val="28"/>
              </w:rPr>
              <w:t>□花蓮市□鳳林鎮□玉里鎮□新城鄉□吉安鄉□壽豐鄉□光復鄉</w:t>
            </w:r>
          </w:p>
          <w:p>
            <w:pPr>
              <w:pStyle w:val="TableParagraph"/>
              <w:spacing w:line="351" w:lineRule="exact" w:before="42"/>
              <w:rPr>
                <w:sz w:val="28"/>
              </w:rPr>
            </w:pPr>
            <w:r>
              <w:rPr>
                <w:spacing w:val="-3"/>
                <w:sz w:val="28"/>
              </w:rPr>
              <w:t>□豐濱鄉□瑞穗鄉□富里鄉□秀林鄉□萬榮鄉□卓溪鄉</w:t>
            </w:r>
          </w:p>
          <w:p>
            <w:pPr>
              <w:pStyle w:val="TableParagraph"/>
              <w:tabs>
                <w:tab w:pos="3490" w:val="left" w:leader="none"/>
                <w:tab w:pos="4750" w:val="left" w:leader="none"/>
                <w:tab w:pos="6152" w:val="left" w:leader="none"/>
                <w:tab w:pos="6989" w:val="left" w:leader="none"/>
                <w:tab w:pos="8672" w:val="left" w:leader="none"/>
                <w:tab w:pos="9922" w:val="left" w:leader="none"/>
              </w:tabs>
              <w:spacing w:line="273" w:lineRule="auto"/>
              <w:ind w:left="871" w:right="128" w:hanging="44"/>
              <w:rPr>
                <w:sz w:val="28"/>
              </w:rPr>
            </w:pPr>
            <w:r>
              <w:rPr>
                <w:sz w:val="28"/>
              </w:rPr>
              <w:t>營運時間: 每週</w:t>
            </w:r>
            <w:r>
              <w:rPr>
                <w:rFonts w:ascii="Times New Roman" w:eastAsia="Times New Roman"/>
                <w:sz w:val="28"/>
                <w:u w:val="single"/>
              </w:rPr>
              <w:tab/>
            </w:r>
            <w:r>
              <w:rPr>
                <w:spacing w:val="-6"/>
                <w:sz w:val="28"/>
              </w:rPr>
              <w:t>至週</w:t>
            </w:r>
            <w:r>
              <w:rPr>
                <w:rFonts w:ascii="Times New Roman" w:eastAsia="Times New Roman"/>
                <w:sz w:val="28"/>
                <w:u w:val="single"/>
              </w:rPr>
              <w:tab/>
            </w:r>
            <w:r>
              <w:rPr>
                <w:spacing w:val="-6"/>
                <w:sz w:val="28"/>
              </w:rPr>
              <w:t>上午</w:t>
            </w:r>
            <w:r>
              <w:rPr>
                <w:sz w:val="28"/>
                <w:u w:val="single"/>
              </w:rPr>
              <w:tab/>
            </w:r>
            <w:r>
              <w:rPr>
                <w:spacing w:val="-10"/>
                <w:sz w:val="28"/>
              </w:rPr>
              <w:t>:</w:t>
            </w:r>
            <w:r>
              <w:rPr>
                <w:rFonts w:ascii="Times New Roman" w:eastAsia="Times New Roman"/>
                <w:sz w:val="28"/>
                <w:u w:val="single"/>
              </w:rPr>
              <w:tab/>
            </w:r>
            <w:r>
              <w:rPr>
                <w:spacing w:val="-4"/>
                <w:sz w:val="28"/>
              </w:rPr>
              <w:t>至下午</w:t>
            </w:r>
            <w:r>
              <w:rPr>
                <w:rFonts w:ascii="Times New Roman" w:eastAsia="Times New Roman"/>
                <w:sz w:val="28"/>
                <w:u w:val="single"/>
              </w:rPr>
              <w:tab/>
            </w:r>
            <w:r>
              <w:rPr>
                <w:sz w:val="28"/>
              </w:rPr>
              <w:t>: </w:t>
            </w:r>
            <w:r>
              <w:rPr>
                <w:sz w:val="28"/>
                <w:u w:val="single"/>
              </w:rPr>
              <w:tab/>
            </w:r>
            <w:r>
              <w:rPr>
                <w:sz w:val="28"/>
              </w:rPr>
              <w:t> </w:t>
            </w:r>
            <w:r>
              <w:rPr>
                <w:spacing w:val="-2"/>
                <w:sz w:val="28"/>
              </w:rPr>
              <w:t>如遇國定假日或颱風等特殊狀況或其他因素，經行政院人事行政總處及本縣縣政府宣布停班得暫停服務。</w:t>
            </w:r>
          </w:p>
          <w:p>
            <w:pPr>
              <w:pStyle w:val="TableParagraph"/>
              <w:numPr>
                <w:ilvl w:val="0"/>
                <w:numId w:val="3"/>
              </w:numPr>
              <w:tabs>
                <w:tab w:pos="1169" w:val="left" w:leader="none"/>
              </w:tabs>
              <w:spacing w:line="351" w:lineRule="exact" w:before="0" w:after="0"/>
              <w:ind w:left="1169" w:right="0" w:hanging="260"/>
              <w:jc w:val="left"/>
              <w:rPr>
                <w:sz w:val="28"/>
              </w:rPr>
            </w:pPr>
            <w:r>
              <w:rPr>
                <w:spacing w:val="-2"/>
                <w:sz w:val="28"/>
              </w:rPr>
              <w:t>依據長期照顧服務機構設立標準第11條明定家庭托顧服務時間以10</w:t>
            </w:r>
            <w:r>
              <w:rPr>
                <w:spacing w:val="-5"/>
                <w:sz w:val="28"/>
              </w:rPr>
              <w:t>小時為</w:t>
            </w:r>
          </w:p>
          <w:p>
            <w:pPr>
              <w:pStyle w:val="TableParagraph"/>
              <w:spacing w:line="339" w:lineRule="exact" w:before="34"/>
              <w:ind w:left="1171"/>
              <w:rPr>
                <w:sz w:val="28"/>
              </w:rPr>
            </w:pPr>
            <w:r>
              <w:rPr>
                <w:spacing w:val="-2"/>
                <w:sz w:val="28"/>
              </w:rPr>
              <w:t>原則，至多12</w:t>
            </w:r>
            <w:r>
              <w:rPr>
                <w:spacing w:val="-5"/>
                <w:sz w:val="28"/>
              </w:rPr>
              <w:t>小時。</w:t>
            </w:r>
          </w:p>
        </w:tc>
      </w:tr>
    </w:tbl>
    <w:p>
      <w:pPr>
        <w:rPr>
          <w:sz w:val="2"/>
          <w:szCs w:val="2"/>
        </w:rPr>
      </w:pPr>
      <w:r>
        <w:rPr>
          <w:sz w:val="2"/>
          <w:szCs w:val="2"/>
        </w:rPr>
        <mc:AlternateContent>
          <mc:Choice Requires="wps">
            <w:drawing>
              <wp:anchor distT="0" distB="0" distL="0" distR="0" allowOverlap="1" layoutInCell="1" locked="0" behindDoc="1" simplePos="0" relativeHeight="487164416">
                <wp:simplePos x="0" y="0"/>
                <wp:positionH relativeFrom="page">
                  <wp:posOffset>5426709</wp:posOffset>
                </wp:positionH>
                <wp:positionV relativeFrom="page">
                  <wp:posOffset>8634729</wp:posOffset>
                </wp:positionV>
                <wp:extent cx="2125345" cy="205422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2125345" cy="2054225"/>
                          <a:chExt cx="2125345" cy="2054225"/>
                        </a:xfrm>
                      </wpg:grpSpPr>
                      <wps:wsp>
                        <wps:cNvPr id="6" name="Graphic 6"/>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7" name="Textbox 7"/>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2</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52064" id="docshapegroup5" coordorigin="8546,13598" coordsize="3347,3235">
                <v:shape style="position:absolute;left:8546;top:13598;width:3347;height:3235" id="docshape6" coordorigin="8546,13598" coordsize="3347,3235" path="m11893,13598l8546,16833,11893,16833,11893,13598xe" filled="true" fillcolor="#d2eaf0" stroked="false">
                  <v:path arrowok="t"/>
                  <v:fill type="solid"/>
                </v:shape>
                <v:shape style="position:absolute;left:8546;top:13598;width:3347;height:3235" type="#_x0000_t202" id="docshape7"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2</w:t>
                        </w:r>
                      </w:p>
                    </w:txbxContent>
                  </v:textbox>
                  <w10:wrap type="none"/>
                </v:shape>
                <w10:wrap type="none"/>
              </v:group>
            </w:pict>
          </mc:Fallback>
        </mc:AlternateContent>
      </w:r>
    </w:p>
    <w:p>
      <w:pPr>
        <w:spacing w:after="0"/>
        <w:rPr>
          <w:sz w:val="2"/>
          <w:szCs w:val="2"/>
        </w:rPr>
        <w:sectPr>
          <w:type w:val="continuous"/>
          <w:pgSz w:w="11910" w:h="16840"/>
          <w:pgMar w:header="882" w:footer="0" w:top="1120" w:bottom="1588"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3753" w:hRule="atLeast"/>
        </w:trPr>
        <w:tc>
          <w:tcPr>
            <w:tcW w:w="10267" w:type="dxa"/>
          </w:tcPr>
          <w:p>
            <w:pPr>
              <w:pStyle w:val="TableParagraph"/>
              <w:spacing w:line="268" w:lineRule="auto" w:before="42"/>
              <w:ind w:right="6864" w:hanging="322"/>
              <w:rPr>
                <w:sz w:val="28"/>
              </w:rPr>
            </w:pPr>
            <w:r>
              <w:rPr>
                <w:spacing w:val="-2"/>
                <w:sz w:val="28"/>
              </w:rPr>
              <w:t>□交通接送服務</w:t>
            </w:r>
            <w:r>
              <w:rPr>
                <w:spacing w:val="-2"/>
                <w:sz w:val="28"/>
              </w:rPr>
              <w:t>(DA01)</w:t>
            </w:r>
            <w:r>
              <w:rPr>
                <w:spacing w:val="-4"/>
                <w:sz w:val="28"/>
              </w:rPr>
              <w:t>服務區域:</w:t>
            </w:r>
          </w:p>
          <w:p>
            <w:pPr>
              <w:pStyle w:val="TableParagraph"/>
              <w:spacing w:line="354" w:lineRule="exact"/>
              <w:rPr>
                <w:sz w:val="28"/>
              </w:rPr>
            </w:pPr>
            <w:r>
              <w:rPr>
                <w:spacing w:val="-3"/>
                <w:sz w:val="28"/>
              </w:rPr>
              <w:t>□花蓮市□鳳林鎮□玉里鎮□新城鄉□吉安鄉□壽豐鄉□光復鄉</w:t>
            </w:r>
          </w:p>
          <w:p>
            <w:pPr>
              <w:pStyle w:val="TableParagraph"/>
              <w:spacing w:before="42"/>
              <w:rPr>
                <w:sz w:val="28"/>
              </w:rPr>
            </w:pPr>
            <w:r>
              <w:rPr>
                <w:spacing w:val="-3"/>
                <w:sz w:val="28"/>
              </w:rPr>
              <w:t>□豐濱鄉□瑞穗鄉□富里鄉□秀林鄉□萬榮鄉 □卓溪鄉</w:t>
            </w:r>
          </w:p>
          <w:p>
            <w:pPr>
              <w:pStyle w:val="TableParagraph"/>
              <w:spacing w:before="118"/>
              <w:ind w:left="0"/>
              <w:rPr>
                <w:rFonts w:ascii="Times New Roman"/>
                <w:sz w:val="28"/>
              </w:rPr>
            </w:pPr>
          </w:p>
          <w:p>
            <w:pPr>
              <w:pStyle w:val="TableParagraph"/>
              <w:spacing w:line="268" w:lineRule="auto"/>
              <w:ind w:right="6026" w:hanging="322"/>
              <w:rPr>
                <w:sz w:val="28"/>
              </w:rPr>
            </w:pPr>
            <w:r>
              <w:rPr>
                <w:spacing w:val="-2"/>
                <w:sz w:val="28"/>
              </w:rPr>
              <w:t>□社區式服務交通接送</w:t>
            </w:r>
            <w:r>
              <w:rPr>
                <w:spacing w:val="-2"/>
                <w:sz w:val="28"/>
              </w:rPr>
              <w:t>(BD03)</w:t>
            </w:r>
            <w:r>
              <w:rPr>
                <w:spacing w:val="-4"/>
                <w:sz w:val="28"/>
              </w:rPr>
              <w:t>服務區域:</w:t>
            </w:r>
          </w:p>
          <w:p>
            <w:pPr>
              <w:pStyle w:val="TableParagraph"/>
              <w:spacing w:line="357" w:lineRule="exact"/>
              <w:rPr>
                <w:sz w:val="28"/>
              </w:rPr>
            </w:pPr>
            <w:r>
              <w:rPr>
                <w:spacing w:val="-3"/>
                <w:sz w:val="28"/>
              </w:rPr>
              <w:t>□花蓮市□鳳林鎮□玉里鎮□新城鄉□吉安鄉□壽豐鄉□光復鄉</w:t>
            </w:r>
          </w:p>
          <w:p>
            <w:pPr>
              <w:pStyle w:val="TableParagraph"/>
              <w:spacing w:before="40"/>
              <w:rPr>
                <w:sz w:val="28"/>
              </w:rPr>
            </w:pPr>
            <w:r>
              <w:rPr>
                <w:spacing w:val="-3"/>
                <w:sz w:val="28"/>
              </w:rPr>
              <w:t>□豐濱鄉□瑞穗鄉□富里鄉□秀林鄉□萬榮鄉 □卓溪鄉</w:t>
            </w:r>
          </w:p>
          <w:p>
            <w:pPr>
              <w:pStyle w:val="TableParagraph"/>
              <w:spacing w:before="121"/>
              <w:ind w:left="0"/>
              <w:rPr>
                <w:rFonts w:ascii="Times New Roman"/>
                <w:sz w:val="28"/>
              </w:rPr>
            </w:pPr>
          </w:p>
          <w:p>
            <w:pPr>
              <w:pStyle w:val="TableParagraph"/>
              <w:ind w:left="588"/>
              <w:rPr>
                <w:sz w:val="28"/>
              </w:rPr>
            </w:pPr>
            <w:r>
              <w:rPr>
                <w:spacing w:val="-4"/>
                <w:sz w:val="28"/>
              </w:rPr>
              <w:t>□專業服務</w:t>
            </w:r>
          </w:p>
          <w:p>
            <w:pPr>
              <w:pStyle w:val="TableParagraph"/>
              <w:spacing w:before="40"/>
              <w:ind w:left="869"/>
              <w:rPr>
                <w:sz w:val="28"/>
              </w:rPr>
            </w:pPr>
            <w:r>
              <w:rPr>
                <w:sz w:val="28"/>
              </w:rPr>
              <w:t>□1.IADLs</w:t>
            </w:r>
            <w:r>
              <w:rPr>
                <w:spacing w:val="-3"/>
                <w:sz w:val="28"/>
              </w:rPr>
              <w:t> 復能、</w:t>
            </w:r>
            <w:r>
              <w:rPr>
                <w:sz w:val="28"/>
              </w:rPr>
              <w:t>ADLs</w:t>
            </w:r>
            <w:r>
              <w:rPr>
                <w:spacing w:val="-3"/>
                <w:sz w:val="28"/>
              </w:rPr>
              <w:t> 復能照護</w:t>
            </w:r>
            <w:r>
              <w:rPr>
                <w:spacing w:val="-2"/>
                <w:sz w:val="28"/>
              </w:rPr>
              <w:t>（CA07）</w:t>
            </w:r>
          </w:p>
          <w:p>
            <w:pPr>
              <w:pStyle w:val="TableParagraph"/>
              <w:spacing w:before="42"/>
              <w:rPr>
                <w:sz w:val="28"/>
              </w:rPr>
            </w:pPr>
            <w:r>
              <w:rPr>
                <w:spacing w:val="-2"/>
                <w:sz w:val="28"/>
              </w:rPr>
              <w:t>□2.個別化服務計畫（ISP）擬定與執行（CA08）</w:t>
            </w:r>
          </w:p>
          <w:p>
            <w:pPr>
              <w:pStyle w:val="TableParagraph"/>
              <w:spacing w:before="42"/>
              <w:rPr>
                <w:sz w:val="28"/>
              </w:rPr>
            </w:pPr>
            <w:r>
              <w:rPr>
                <w:spacing w:val="-2"/>
                <w:sz w:val="28"/>
              </w:rPr>
              <w:t>□3.營養照護（CB01a）</w:t>
            </w:r>
          </w:p>
          <w:p>
            <w:pPr>
              <w:pStyle w:val="TableParagraph"/>
              <w:spacing w:before="40"/>
              <w:rPr>
                <w:sz w:val="28"/>
              </w:rPr>
            </w:pPr>
            <w:r>
              <w:rPr>
                <w:spacing w:val="-2"/>
                <w:sz w:val="28"/>
              </w:rPr>
              <w:t>□4.進食與吞嚥照護（CB02）</w:t>
            </w:r>
          </w:p>
          <w:p>
            <w:pPr>
              <w:pStyle w:val="TableParagraph"/>
              <w:spacing w:before="42"/>
              <w:rPr>
                <w:sz w:val="28"/>
              </w:rPr>
            </w:pPr>
            <w:r>
              <w:rPr>
                <w:spacing w:val="-2"/>
                <w:sz w:val="28"/>
              </w:rPr>
              <w:t>□5.困擾行為照護（CB03)</w:t>
            </w:r>
          </w:p>
          <w:p>
            <w:pPr>
              <w:pStyle w:val="TableParagraph"/>
              <w:spacing w:before="42"/>
              <w:rPr>
                <w:sz w:val="28"/>
              </w:rPr>
            </w:pPr>
            <w:r>
              <w:rPr>
                <w:spacing w:val="-2"/>
                <w:sz w:val="28"/>
              </w:rPr>
              <w:t>□6.臥床或長期活動受限照護（CB04）</w:t>
            </w:r>
          </w:p>
          <w:p>
            <w:pPr>
              <w:pStyle w:val="TableParagraph"/>
              <w:spacing w:before="40"/>
              <w:rPr>
                <w:sz w:val="28"/>
              </w:rPr>
            </w:pPr>
            <w:r>
              <w:rPr>
                <w:spacing w:val="-2"/>
                <w:sz w:val="28"/>
              </w:rPr>
              <w:t>□7.居家環境安全或無障礙空間規劃（CC01）</w:t>
            </w:r>
          </w:p>
          <w:p>
            <w:pPr>
              <w:pStyle w:val="TableParagraph"/>
              <w:spacing w:line="268" w:lineRule="auto" w:before="42"/>
              <w:ind w:right="5144"/>
              <w:rPr>
                <w:sz w:val="28"/>
              </w:rPr>
            </w:pPr>
            <w:r>
              <w:rPr>
                <w:spacing w:val="-2"/>
                <w:sz w:val="28"/>
              </w:rPr>
              <w:t>□8.居家護理指導與諮詢</w:t>
            </w:r>
            <w:r>
              <w:rPr>
                <w:spacing w:val="-2"/>
                <w:sz w:val="28"/>
              </w:rPr>
              <w:t>（CD02）服務區域:</w:t>
            </w:r>
          </w:p>
          <w:p>
            <w:pPr>
              <w:pStyle w:val="TableParagraph"/>
              <w:spacing w:line="354" w:lineRule="exact"/>
              <w:rPr>
                <w:sz w:val="28"/>
              </w:rPr>
            </w:pPr>
            <w:r>
              <w:rPr>
                <w:spacing w:val="-3"/>
                <w:sz w:val="28"/>
              </w:rPr>
              <w:t>□花蓮市□鳳林鎮□玉里鎮□新城鄉□吉安鄉□壽豐鄉□光復鄉</w:t>
            </w:r>
          </w:p>
          <w:p>
            <w:pPr>
              <w:pStyle w:val="TableParagraph"/>
              <w:spacing w:before="42"/>
              <w:rPr>
                <w:sz w:val="28"/>
              </w:rPr>
            </w:pPr>
            <w:r>
              <w:rPr>
                <w:spacing w:val="-3"/>
                <w:sz w:val="28"/>
              </w:rPr>
              <w:t>□豐濱鄉□瑞穗鄉□富里鄉□秀林鄉□萬榮鄉□卓溪鄉</w:t>
            </w:r>
          </w:p>
          <w:p>
            <w:pPr>
              <w:pStyle w:val="TableParagraph"/>
              <w:spacing w:before="118"/>
              <w:ind w:left="0"/>
              <w:rPr>
                <w:rFonts w:ascii="Times New Roman"/>
                <w:sz w:val="28"/>
              </w:rPr>
            </w:pPr>
          </w:p>
          <w:p>
            <w:pPr>
              <w:pStyle w:val="TableParagraph"/>
              <w:spacing w:line="352" w:lineRule="exact"/>
              <w:ind w:left="588"/>
              <w:rPr>
                <w:sz w:val="28"/>
              </w:rPr>
            </w:pPr>
            <w:r>
              <w:rPr>
                <w:spacing w:val="-3"/>
                <w:sz w:val="28"/>
              </w:rPr>
              <w:t>□家庭照顧者喘息服務</w:t>
            </w:r>
          </w:p>
          <w:p>
            <w:pPr>
              <w:pStyle w:val="TableParagraph"/>
              <w:spacing w:line="352" w:lineRule="exact"/>
              <w:rPr>
                <w:sz w:val="28"/>
              </w:rPr>
            </w:pPr>
            <w:r>
              <w:rPr>
                <w:spacing w:val="-2"/>
                <w:sz w:val="28"/>
              </w:rPr>
              <w:t>□1.日間照顧中心喘息(GA03-04)；半日以4小時計、全日以8</w:t>
            </w:r>
            <w:r>
              <w:rPr>
                <w:spacing w:val="-5"/>
                <w:sz w:val="28"/>
              </w:rPr>
              <w:t>小時計</w:t>
            </w:r>
          </w:p>
          <w:p>
            <w:pPr>
              <w:pStyle w:val="TableParagraph"/>
              <w:spacing w:before="6"/>
              <w:rPr>
                <w:sz w:val="28"/>
              </w:rPr>
            </w:pPr>
            <w:r>
              <w:rPr>
                <w:sz w:val="28"/>
              </w:rPr>
              <w:t>□2.機構住宿式喘息(GA05)</w:t>
            </w:r>
            <w:r>
              <w:rPr>
                <w:spacing w:val="-6"/>
                <w:sz w:val="28"/>
              </w:rPr>
              <w:t> ; </w:t>
            </w:r>
            <w:r>
              <w:rPr>
                <w:sz w:val="28"/>
              </w:rPr>
              <w:t>1</w:t>
            </w:r>
            <w:r>
              <w:rPr>
                <w:spacing w:val="-3"/>
                <w:sz w:val="28"/>
              </w:rPr>
              <w:t> 日(</w:t>
            </w:r>
            <w:r>
              <w:rPr>
                <w:sz w:val="28"/>
              </w:rPr>
              <w:t>24</w:t>
            </w:r>
            <w:r>
              <w:rPr>
                <w:spacing w:val="-4"/>
                <w:sz w:val="28"/>
              </w:rPr>
              <w:t>小時)</w:t>
            </w:r>
          </w:p>
          <w:p>
            <w:pPr>
              <w:pStyle w:val="TableParagraph"/>
              <w:spacing w:line="244" w:lineRule="auto" w:before="7"/>
              <w:ind w:right="3041"/>
              <w:rPr>
                <w:sz w:val="28"/>
              </w:rPr>
            </w:pPr>
            <w:r>
              <w:rPr>
                <w:sz w:val="28"/>
              </w:rPr>
              <w:t>□3.巷弄長照站喘息(GA07</w:t>
            </w:r>
            <w:r>
              <w:rPr>
                <w:spacing w:val="-4"/>
                <w:sz w:val="28"/>
              </w:rPr>
              <w:t>)； </w:t>
            </w:r>
            <w:r>
              <w:rPr>
                <w:sz w:val="28"/>
              </w:rPr>
              <w:t>1</w:t>
            </w:r>
            <w:r>
              <w:rPr>
                <w:spacing w:val="-3"/>
                <w:sz w:val="28"/>
              </w:rPr>
              <w:t> 日至多申請</w:t>
            </w:r>
            <w:r>
              <w:rPr>
                <w:sz w:val="28"/>
              </w:rPr>
              <w:t>6</w:t>
            </w:r>
            <w:r>
              <w:rPr>
                <w:spacing w:val="-4"/>
                <w:sz w:val="28"/>
              </w:rPr>
              <w:t> 小時</w:t>
            </w:r>
            <w:r>
              <w:rPr>
                <w:spacing w:val="-2"/>
                <w:sz w:val="28"/>
              </w:rPr>
              <w:t>服務區域:</w:t>
            </w:r>
          </w:p>
          <w:p>
            <w:pPr>
              <w:pStyle w:val="TableParagraph"/>
              <w:spacing w:line="354" w:lineRule="exact"/>
              <w:rPr>
                <w:sz w:val="28"/>
              </w:rPr>
            </w:pPr>
            <w:r>
              <w:rPr>
                <w:spacing w:val="-3"/>
                <w:sz w:val="28"/>
              </w:rPr>
              <w:t>□花蓮市□鳳林鎮□玉里鎮□新城鄉□吉安鄉□壽豐鄉□光復鄉</w:t>
            </w:r>
          </w:p>
          <w:p>
            <w:pPr>
              <w:pStyle w:val="TableParagraph"/>
              <w:spacing w:before="6"/>
              <w:rPr>
                <w:sz w:val="28"/>
              </w:rPr>
            </w:pPr>
            <w:r>
              <w:rPr>
                <w:spacing w:val="-3"/>
                <w:sz w:val="28"/>
              </w:rPr>
              <w:t>□豐濱鄉□瑞穗鄉□富里鄉□秀林鄉□萬榮鄉□卓溪鄉</w:t>
            </w:r>
          </w:p>
          <w:p>
            <w:pPr>
              <w:pStyle w:val="TableParagraph"/>
              <w:spacing w:before="102"/>
              <w:ind w:left="0"/>
              <w:rPr>
                <w:rFonts w:ascii="Times New Roman"/>
                <w:sz w:val="28"/>
              </w:rPr>
            </w:pPr>
          </w:p>
          <w:p>
            <w:pPr>
              <w:pStyle w:val="TableParagraph"/>
              <w:ind w:left="588"/>
              <w:rPr>
                <w:sz w:val="28"/>
              </w:rPr>
            </w:pPr>
            <w:r>
              <w:rPr>
                <w:spacing w:val="-3"/>
                <w:sz w:val="28"/>
              </w:rPr>
              <w:t>□聘僱外籍看護工家庭短期替代照顧服務(以下簡稱短照服務)</w:t>
            </w:r>
          </w:p>
          <w:p>
            <w:pPr>
              <w:pStyle w:val="TableParagraph"/>
              <w:spacing w:before="42"/>
              <w:ind w:left="869"/>
              <w:rPr>
                <w:sz w:val="28"/>
              </w:rPr>
            </w:pPr>
            <w:r>
              <w:rPr>
                <w:spacing w:val="-3"/>
                <w:sz w:val="28"/>
              </w:rPr>
              <w:t>★服務區域同喘息服務</w:t>
            </w:r>
          </w:p>
          <w:p>
            <w:pPr>
              <w:pStyle w:val="TableParagraph"/>
              <w:spacing w:before="42"/>
              <w:ind w:left="907"/>
              <w:rPr>
                <w:sz w:val="28"/>
              </w:rPr>
            </w:pPr>
            <w:r>
              <w:rPr>
                <w:spacing w:val="-2"/>
                <w:sz w:val="28"/>
              </w:rPr>
              <w:t>□1.</w:t>
            </w:r>
            <w:r>
              <w:rPr>
                <w:spacing w:val="-4"/>
                <w:sz w:val="28"/>
              </w:rPr>
              <w:t>居家短照服務</w:t>
            </w:r>
          </w:p>
          <w:p>
            <w:pPr>
              <w:pStyle w:val="TableParagraph"/>
              <w:spacing w:line="341" w:lineRule="exact" w:before="39"/>
              <w:ind w:left="907"/>
              <w:rPr>
                <w:sz w:val="28"/>
              </w:rPr>
            </w:pPr>
            <w:r>
              <w:rPr>
                <w:spacing w:val="-2"/>
                <w:sz w:val="28"/>
              </w:rPr>
              <w:t>□2.日間照顧中心短照服務(半日以4小時計、全日以8</w:t>
            </w:r>
            <w:r>
              <w:rPr>
                <w:spacing w:val="-4"/>
                <w:sz w:val="28"/>
              </w:rPr>
              <w:t>小時計)</w:t>
            </w:r>
          </w:p>
        </w:tc>
      </w:tr>
    </w:tbl>
    <w:p>
      <w:pPr>
        <w:rPr>
          <w:sz w:val="2"/>
          <w:szCs w:val="2"/>
        </w:rPr>
      </w:pPr>
      <w:r>
        <w:rPr>
          <w:sz w:val="2"/>
          <w:szCs w:val="2"/>
        </w:rPr>
        <mc:AlternateContent>
          <mc:Choice Requires="wps">
            <w:drawing>
              <wp:anchor distT="0" distB="0" distL="0" distR="0" allowOverlap="1" layoutInCell="1" locked="0" behindDoc="1" simplePos="0" relativeHeight="487164928">
                <wp:simplePos x="0" y="0"/>
                <wp:positionH relativeFrom="page">
                  <wp:posOffset>5426709</wp:posOffset>
                </wp:positionH>
                <wp:positionV relativeFrom="page">
                  <wp:posOffset>8634729</wp:posOffset>
                </wp:positionV>
                <wp:extent cx="2125345" cy="205422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2125345" cy="2054225"/>
                          <a:chExt cx="2125345" cy="2054225"/>
                        </a:xfrm>
                      </wpg:grpSpPr>
                      <wps:wsp>
                        <wps:cNvPr id="9" name="Graphic 9"/>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10" name="Textbox 10"/>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3</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51552" id="docshapegroup8" coordorigin="8546,13598" coordsize="3347,3235">
                <v:shape style="position:absolute;left:8546;top:13598;width:3347;height:3235" id="docshape9" coordorigin="8546,13598" coordsize="3347,3235" path="m11893,13598l8546,16833,11893,16833,11893,13598xe" filled="true" fillcolor="#d2eaf0" stroked="false">
                  <v:path arrowok="t"/>
                  <v:fill type="solid"/>
                </v:shape>
                <v:shape style="position:absolute;left:8546;top:13598;width:3347;height:3235" type="#_x0000_t202" id="docshape10"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3</w:t>
                        </w:r>
                      </w:p>
                    </w:txbxContent>
                  </v:textbox>
                  <w10:wrap type="none"/>
                </v:shape>
                <w10:wrap type="none"/>
              </v:group>
            </w:pict>
          </mc:Fallback>
        </mc:AlternateContent>
      </w:r>
    </w:p>
    <w:p>
      <w:pPr>
        <w:spacing w:after="0"/>
        <w:rPr>
          <w:sz w:val="2"/>
          <w:szCs w:val="2"/>
        </w:rPr>
        <w:sectPr>
          <w:type w:val="continuous"/>
          <w:pgSz w:w="11910" w:h="16840"/>
          <w:pgMar w:header="882" w:footer="0" w:top="1120" w:bottom="1336"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3501" w:hRule="atLeast"/>
        </w:trPr>
        <w:tc>
          <w:tcPr>
            <w:tcW w:w="10267" w:type="dxa"/>
          </w:tcPr>
          <w:p>
            <w:pPr>
              <w:pStyle w:val="TableParagraph"/>
              <w:spacing w:before="42"/>
              <w:ind w:left="907"/>
              <w:rPr>
                <w:sz w:val="28"/>
              </w:rPr>
            </w:pPr>
            <w:r>
              <w:rPr>
                <w:sz w:val="28"/>
              </w:rPr>
              <w:t>□3.</w:t>
            </w:r>
            <w:r>
              <w:rPr>
                <w:spacing w:val="-1"/>
                <w:sz w:val="28"/>
              </w:rPr>
              <w:t>小規模多機能服務夜間短照服務(每日下午 </w:t>
            </w:r>
            <w:r>
              <w:rPr>
                <w:sz w:val="28"/>
              </w:rPr>
              <w:t>6</w:t>
            </w:r>
            <w:r>
              <w:rPr>
                <w:spacing w:val="-3"/>
                <w:sz w:val="28"/>
              </w:rPr>
              <w:t> 點至翌日上午</w:t>
            </w:r>
            <w:r>
              <w:rPr>
                <w:sz w:val="28"/>
              </w:rPr>
              <w:t>8</w:t>
            </w:r>
            <w:r>
              <w:rPr>
                <w:spacing w:val="-5"/>
                <w:sz w:val="28"/>
              </w:rPr>
              <w:t>點)</w:t>
            </w:r>
          </w:p>
          <w:p>
            <w:pPr>
              <w:pStyle w:val="TableParagraph"/>
              <w:spacing w:before="42"/>
              <w:ind w:left="907"/>
              <w:rPr>
                <w:sz w:val="28"/>
              </w:rPr>
            </w:pPr>
            <w:r>
              <w:rPr>
                <w:sz w:val="28"/>
              </w:rPr>
              <w:t>□4.機構住宿式短照服務【1日(24</w:t>
            </w:r>
            <w:r>
              <w:rPr>
                <w:spacing w:val="-7"/>
                <w:sz w:val="28"/>
              </w:rPr>
              <w:t> 小時)】</w:t>
            </w:r>
          </w:p>
          <w:p>
            <w:pPr>
              <w:pStyle w:val="TableParagraph"/>
              <w:spacing w:before="39"/>
              <w:ind w:left="907"/>
              <w:rPr>
                <w:sz w:val="28"/>
              </w:rPr>
            </w:pPr>
            <w:r>
              <w:rPr>
                <w:spacing w:val="-2"/>
                <w:sz w:val="28"/>
              </w:rPr>
              <w:t>□5.巷弄長照站短照服務(1日至多申請6</w:t>
            </w:r>
            <w:r>
              <w:rPr>
                <w:spacing w:val="-5"/>
                <w:sz w:val="28"/>
              </w:rPr>
              <w:t>小時)</w:t>
            </w:r>
          </w:p>
          <w:p>
            <w:pPr>
              <w:pStyle w:val="TableParagraph"/>
              <w:spacing w:before="96"/>
              <w:ind w:left="0"/>
              <w:rPr>
                <w:rFonts w:ascii="Times New Roman"/>
                <w:sz w:val="28"/>
              </w:rPr>
            </w:pPr>
          </w:p>
          <w:p>
            <w:pPr>
              <w:pStyle w:val="TableParagraph"/>
              <w:spacing w:line="230" w:lineRule="auto"/>
              <w:ind w:right="5464" w:hanging="322"/>
              <w:rPr>
                <w:sz w:val="28"/>
              </w:rPr>
            </w:pPr>
            <w:r>
              <w:rPr>
                <w:spacing w:val="-2"/>
                <w:sz w:val="28"/>
              </w:rPr>
              <w:t>□輔具及居家無障礙環境改善服務輔具服務區域:</w:t>
            </w:r>
          </w:p>
          <w:p>
            <w:pPr>
              <w:pStyle w:val="TableParagraph"/>
              <w:spacing w:before="8"/>
              <w:rPr>
                <w:sz w:val="28"/>
              </w:rPr>
            </w:pPr>
            <w:r>
              <w:rPr>
                <w:spacing w:val="-3"/>
                <w:sz w:val="28"/>
              </w:rPr>
              <w:t>□花蓮市□鳳林鎮□玉里鎮□新城鄉□吉安鄉□壽豐鄉□光復鄉</w:t>
            </w:r>
          </w:p>
          <w:p>
            <w:pPr>
              <w:pStyle w:val="TableParagraph"/>
              <w:spacing w:line="244" w:lineRule="auto" w:before="6"/>
              <w:ind w:right="2624"/>
              <w:rPr>
                <w:sz w:val="28"/>
              </w:rPr>
            </w:pPr>
            <w:r>
              <w:rPr>
                <w:spacing w:val="-2"/>
                <w:sz w:val="28"/>
              </w:rPr>
              <w:t>□豐濱鄉□瑞穗鄉□富里鄉□秀林鄉□萬榮鄉□卓溪鄉居家無障礙環境改善服務區域:</w:t>
            </w:r>
          </w:p>
          <w:p>
            <w:pPr>
              <w:pStyle w:val="TableParagraph"/>
              <w:spacing w:line="357" w:lineRule="exact"/>
              <w:rPr>
                <w:sz w:val="28"/>
              </w:rPr>
            </w:pPr>
            <w:r>
              <w:rPr>
                <w:spacing w:val="-3"/>
                <w:sz w:val="28"/>
              </w:rPr>
              <w:t>□花蓮市□鳳林鎮□玉里鎮□新城鄉□吉安鄉□壽豐鄉□光復鄉</w:t>
            </w:r>
          </w:p>
          <w:p>
            <w:pPr>
              <w:pStyle w:val="TableParagraph"/>
              <w:spacing w:before="4"/>
              <w:rPr>
                <w:sz w:val="28"/>
              </w:rPr>
            </w:pPr>
            <w:r>
              <w:rPr>
                <w:spacing w:val="-3"/>
                <w:sz w:val="28"/>
              </w:rPr>
              <w:t>□豐濱鄉□瑞穗鄉□富里鄉□秀林鄉□萬榮鄉□卓溪鄉</w:t>
            </w:r>
          </w:p>
          <w:p>
            <w:pPr>
              <w:pStyle w:val="TableParagraph"/>
              <w:spacing w:before="104"/>
              <w:ind w:left="0"/>
              <w:rPr>
                <w:rFonts w:ascii="Times New Roman"/>
                <w:sz w:val="28"/>
              </w:rPr>
            </w:pPr>
          </w:p>
          <w:p>
            <w:pPr>
              <w:pStyle w:val="TableParagraph"/>
              <w:spacing w:line="268" w:lineRule="auto"/>
              <w:ind w:right="7703" w:hanging="322"/>
              <w:rPr>
                <w:sz w:val="28"/>
              </w:rPr>
            </w:pPr>
            <w:r>
              <w:rPr>
                <w:spacing w:val="-2"/>
                <w:sz w:val="28"/>
              </w:rPr>
              <w:t>□營養餐飲服務</w:t>
            </w:r>
            <w:r>
              <w:rPr>
                <w:spacing w:val="-4"/>
                <w:sz w:val="28"/>
              </w:rPr>
              <w:t>服務區域:</w:t>
            </w:r>
          </w:p>
          <w:p>
            <w:pPr>
              <w:pStyle w:val="TableParagraph"/>
              <w:spacing w:line="299" w:lineRule="exact"/>
              <w:rPr>
                <w:sz w:val="28"/>
              </w:rPr>
            </w:pPr>
            <w:r>
              <w:rPr>
                <w:spacing w:val="-3"/>
                <w:sz w:val="28"/>
              </w:rPr>
              <w:t>□花蓮市□鳳林鎮□玉里鎮□新城鄉□吉安鄉□壽豐鄉□光復鄉</w:t>
            </w:r>
          </w:p>
          <w:p>
            <w:pPr>
              <w:pStyle w:val="TableParagraph"/>
              <w:spacing w:before="6"/>
              <w:rPr>
                <w:sz w:val="28"/>
              </w:rPr>
            </w:pPr>
            <w:r>
              <w:rPr>
                <w:spacing w:val="-3"/>
                <w:sz w:val="28"/>
              </w:rPr>
              <w:t>□豐濱鄉□瑞穗鄉□富里鄉□秀林鄉□萬榮鄉□卓溪鄉</w:t>
            </w:r>
          </w:p>
          <w:p>
            <w:pPr>
              <w:pStyle w:val="TableParagraph"/>
              <w:tabs>
                <w:tab w:pos="9933" w:val="left" w:leader="none"/>
              </w:tabs>
              <w:spacing w:before="6"/>
              <w:rPr>
                <w:rFonts w:ascii="Times New Roman" w:eastAsia="Times New Roman"/>
                <w:sz w:val="28"/>
              </w:rPr>
            </w:pPr>
            <w:r>
              <w:rPr>
                <w:sz w:val="28"/>
              </w:rPr>
              <w:t>村里</w:t>
            </w:r>
            <w:r>
              <w:rPr>
                <w:spacing w:val="-10"/>
                <w:sz w:val="28"/>
              </w:rPr>
              <w:t>：</w:t>
            </w:r>
            <w:r>
              <w:rPr>
                <w:rFonts w:ascii="Times New Roman" w:eastAsia="Times New Roman"/>
                <w:sz w:val="28"/>
                <w:u w:val="single"/>
              </w:rPr>
              <w:tab/>
            </w:r>
          </w:p>
          <w:p>
            <w:pPr>
              <w:pStyle w:val="TableParagraph"/>
              <w:spacing w:before="47"/>
              <w:ind w:left="0"/>
              <w:rPr>
                <w:rFonts w:ascii="Times New Roman"/>
                <w:sz w:val="28"/>
              </w:rPr>
            </w:pPr>
          </w:p>
          <w:p>
            <w:pPr>
              <w:pStyle w:val="TableParagraph"/>
              <w:ind w:left="602"/>
              <w:rPr>
                <w:sz w:val="28"/>
              </w:rPr>
            </w:pPr>
            <w:r>
              <w:rPr>
                <w:spacing w:val="-3"/>
                <w:sz w:val="28"/>
              </w:rPr>
              <w:t>□居家失能個案家庭醫師照護服務</w:t>
            </w:r>
          </w:p>
          <w:p>
            <w:pPr>
              <w:pStyle w:val="TableParagraph"/>
              <w:tabs>
                <w:tab w:pos="10124" w:val="left" w:leader="none"/>
              </w:tabs>
              <w:spacing w:line="280" w:lineRule="auto" w:before="6"/>
              <w:ind w:right="130" w:hanging="22"/>
              <w:rPr>
                <w:sz w:val="28"/>
              </w:rPr>
            </w:pPr>
            <w:r>
              <w:rPr>
                <w:sz w:val="28"/>
              </w:rPr>
              <w:t>服務區域為: </w:t>
            </w:r>
            <w:r>
              <w:rPr>
                <w:sz w:val="28"/>
                <w:u w:val="single"/>
              </w:rPr>
              <w:tab/>
            </w:r>
            <w:r>
              <w:rPr>
                <w:sz w:val="28"/>
              </w:rPr>
              <w:t> </w:t>
            </w:r>
            <w:r>
              <w:rPr>
                <w:spacing w:val="-2"/>
                <w:sz w:val="28"/>
              </w:rPr>
              <w:t>(鄉/鎮/村里)</w:t>
            </w:r>
          </w:p>
          <w:p>
            <w:pPr>
              <w:pStyle w:val="TableParagraph"/>
              <w:spacing w:line="338" w:lineRule="exact"/>
              <w:ind w:left="907"/>
              <w:rPr>
                <w:sz w:val="28"/>
              </w:rPr>
            </w:pPr>
            <w:r>
              <w:rPr>
                <w:spacing w:val="-2"/>
                <w:position w:val="14"/>
                <w:sz w:val="14"/>
              </w:rPr>
              <w:t>3</w:t>
            </w:r>
            <w:r>
              <w:rPr>
                <w:spacing w:val="-3"/>
                <w:sz w:val="28"/>
              </w:rPr>
              <w:t>各項服務項目得申報費用之照顧組合內容，詳如本契約附件。</w:t>
            </w:r>
          </w:p>
          <w:p>
            <w:pPr>
              <w:pStyle w:val="TableParagraph"/>
              <w:spacing w:before="42"/>
              <w:ind w:left="907"/>
              <w:rPr>
                <w:sz w:val="28"/>
              </w:rPr>
            </w:pPr>
            <w:r>
              <w:rPr>
                <w:position w:val="14"/>
                <w:sz w:val="14"/>
              </w:rPr>
              <w:t>4</w:t>
            </w:r>
            <w:r>
              <w:rPr>
                <w:spacing w:val="-1"/>
                <w:sz w:val="28"/>
              </w:rPr>
              <w:t>乙方服務對象(以下簡稱個案)以事前申請並經直轄市、縣(市)長期照顧管</w:t>
            </w:r>
          </w:p>
          <w:p>
            <w:pPr>
              <w:pStyle w:val="TableParagraph"/>
              <w:spacing w:line="266" w:lineRule="auto" w:before="42"/>
              <w:ind w:left="602" w:right="99"/>
              <w:rPr>
                <w:sz w:val="28"/>
              </w:rPr>
            </w:pPr>
            <w:r>
              <w:rPr>
                <w:sz w:val="28"/>
              </w:rPr>
              <w:t>理中心(以下簡稱縣市照管中心)核定後，符合長期照顧服務申請及給付辦法</w:t>
            </w:r>
            <w:r>
              <w:rPr>
                <w:spacing w:val="80"/>
                <w:sz w:val="28"/>
              </w:rPr>
              <w:t> </w:t>
            </w:r>
            <w:r>
              <w:rPr>
                <w:sz w:val="28"/>
              </w:rPr>
              <w:t>(以下稱給付辦法)規定並實際居住於</w:t>
            </w:r>
            <w:r>
              <w:rPr>
                <w:spacing w:val="80"/>
                <w:w w:val="150"/>
                <w:sz w:val="28"/>
                <w:u w:val="single"/>
              </w:rPr>
              <w:t> </w:t>
            </w:r>
            <w:r>
              <w:rPr>
                <w:spacing w:val="20"/>
                <w:sz w:val="28"/>
                <w:u w:val="single"/>
              </w:rPr>
              <w:t>花蓮縣 </w:t>
            </w:r>
            <w:r>
              <w:rPr>
                <w:sz w:val="28"/>
              </w:rPr>
              <w:t>(以下簡稱本縣)者。</w:t>
            </w:r>
          </w:p>
          <w:p>
            <w:pPr>
              <w:pStyle w:val="TableParagraph"/>
              <w:spacing w:line="268" w:lineRule="auto" w:before="3"/>
              <w:ind w:left="602" w:right="94" w:firstLine="561"/>
              <w:jc w:val="both"/>
              <w:rPr>
                <w:sz w:val="28"/>
              </w:rPr>
            </w:pPr>
            <w:r>
              <w:rPr>
                <w:position w:val="14"/>
                <w:sz w:val="14"/>
              </w:rPr>
              <w:t>5</w:t>
            </w:r>
            <w:r>
              <w:rPr>
                <w:sz w:val="28"/>
              </w:rPr>
              <w:t>個案設籍於其他縣市但實際居住本</w:t>
            </w:r>
            <w:r>
              <w:rPr>
                <w:spacing w:val="26"/>
                <w:sz w:val="28"/>
                <w:u w:val="single"/>
              </w:rPr>
              <w:t>  縣</w:t>
            </w:r>
            <w:r>
              <w:rPr>
                <w:spacing w:val="80"/>
                <w:w w:val="150"/>
                <w:sz w:val="28"/>
                <w:u w:val="single"/>
              </w:rPr>
              <w:t> </w:t>
            </w:r>
            <w:r>
              <w:rPr>
                <w:spacing w:val="-7"/>
                <w:sz w:val="28"/>
              </w:rPr>
              <w:t>者，經縣市照管中心核定後，</w:t>
            </w:r>
            <w:r>
              <w:rPr>
                <w:spacing w:val="-2"/>
                <w:sz w:val="28"/>
              </w:rPr>
              <w:t>乙方即得依本契約提供服務；乙方如以詐欺或其他不正當行為重複領取服務費用或為虛偽之證明及申報服務費用者，應負一切法律責任，並返還已領取之服</w:t>
            </w:r>
            <w:r>
              <w:rPr>
                <w:spacing w:val="-4"/>
                <w:sz w:val="28"/>
              </w:rPr>
              <w:t>務費用。</w:t>
            </w:r>
          </w:p>
          <w:p>
            <w:pPr>
              <w:pStyle w:val="TableParagraph"/>
              <w:spacing w:line="353" w:lineRule="exact"/>
              <w:rPr>
                <w:sz w:val="28"/>
              </w:rPr>
            </w:pPr>
            <w:r>
              <w:rPr>
                <w:spacing w:val="-2"/>
                <w:position w:val="14"/>
                <w:sz w:val="14"/>
              </w:rPr>
              <w:t>6</w:t>
            </w:r>
            <w:r>
              <w:rPr>
                <w:spacing w:val="-3"/>
                <w:sz w:val="28"/>
              </w:rPr>
              <w:t>乙方應依特管辦法第十二條規定，懸掛或張貼長照特約標誌：</w:t>
            </w:r>
          </w:p>
          <w:p>
            <w:pPr>
              <w:pStyle w:val="TableParagraph"/>
              <w:numPr>
                <w:ilvl w:val="0"/>
                <w:numId w:val="4"/>
              </w:numPr>
              <w:tabs>
                <w:tab w:pos="1275" w:val="left" w:leader="none"/>
                <w:tab w:pos="1277" w:val="left" w:leader="none"/>
              </w:tabs>
              <w:spacing w:line="268" w:lineRule="auto" w:before="40" w:after="0"/>
              <w:ind w:left="1277" w:right="150" w:hanging="567"/>
              <w:jc w:val="left"/>
              <w:rPr>
                <w:sz w:val="28"/>
              </w:rPr>
            </w:pPr>
            <w:r>
              <w:rPr>
                <w:sz w:val="28"/>
              </w:rPr>
              <w:t>乙方應於簽約後之次日</w:t>
            </w:r>
            <w:r>
              <w:rPr>
                <w:spacing w:val="80"/>
                <w:sz w:val="28"/>
                <w:u w:val="single"/>
              </w:rPr>
              <w:t> </w:t>
            </w:r>
            <w:r>
              <w:rPr>
                <w:sz w:val="28"/>
                <w:u w:val="single"/>
              </w:rPr>
              <w:t>5</w:t>
            </w:r>
            <w:r>
              <w:rPr>
                <w:spacing w:val="80"/>
                <w:sz w:val="28"/>
                <w:u w:val="single"/>
              </w:rPr>
              <w:t> </w:t>
            </w:r>
            <w:r>
              <w:rPr>
                <w:sz w:val="28"/>
              </w:rPr>
              <w:t>日內，將衛生福利部規定之長照特約標誌，</w:t>
            </w:r>
            <w:r>
              <w:rPr>
                <w:spacing w:val="-2"/>
                <w:sz w:val="28"/>
              </w:rPr>
              <w:t>懸掛或張貼於明顯處所。</w:t>
            </w:r>
          </w:p>
          <w:p>
            <w:pPr>
              <w:pStyle w:val="TableParagraph"/>
              <w:numPr>
                <w:ilvl w:val="0"/>
                <w:numId w:val="4"/>
              </w:numPr>
              <w:tabs>
                <w:tab w:pos="1275" w:val="left" w:leader="none"/>
                <w:tab w:pos="1277" w:val="left" w:leader="none"/>
              </w:tabs>
              <w:spacing w:line="266" w:lineRule="auto" w:before="0" w:after="0"/>
              <w:ind w:left="1277" w:right="160" w:hanging="567"/>
              <w:jc w:val="left"/>
              <w:rPr>
                <w:sz w:val="28"/>
              </w:rPr>
            </w:pPr>
            <w:r>
              <w:rPr>
                <w:spacing w:val="-2"/>
                <w:sz w:val="28"/>
              </w:rPr>
              <w:t>乙方於不予續約、終止或解除特約時，應將前款標誌卸除，並於標誌處所告示；特約內容變更者，應於標誌處所告示變更事項。</w:t>
            </w:r>
          </w:p>
          <w:p>
            <w:pPr>
              <w:pStyle w:val="TableParagraph"/>
              <w:numPr>
                <w:ilvl w:val="0"/>
                <w:numId w:val="4"/>
              </w:numPr>
              <w:tabs>
                <w:tab w:pos="1275" w:val="left" w:leader="none"/>
              </w:tabs>
              <w:spacing w:line="339" w:lineRule="exact" w:before="0" w:after="0"/>
              <w:ind w:left="1275" w:right="0" w:hanging="565"/>
              <w:jc w:val="left"/>
              <w:rPr>
                <w:sz w:val="28"/>
              </w:rPr>
            </w:pPr>
            <w:r>
              <w:rPr>
                <w:spacing w:val="-3"/>
                <w:sz w:val="28"/>
              </w:rPr>
              <w:t>乙方有設置網頁者，應將前款告示事項，於網頁揭露。</w:t>
            </w:r>
          </w:p>
        </w:tc>
      </w:tr>
    </w:tbl>
    <w:p>
      <w:pPr>
        <w:rPr>
          <w:sz w:val="2"/>
          <w:szCs w:val="2"/>
        </w:rPr>
      </w:pPr>
      <w:r>
        <w:rPr>
          <w:sz w:val="2"/>
          <w:szCs w:val="2"/>
        </w:rPr>
        <mc:AlternateContent>
          <mc:Choice Requires="wps">
            <w:drawing>
              <wp:anchor distT="0" distB="0" distL="0" distR="0" allowOverlap="1" layoutInCell="1" locked="0" behindDoc="1" simplePos="0" relativeHeight="487165440">
                <wp:simplePos x="0" y="0"/>
                <wp:positionH relativeFrom="page">
                  <wp:posOffset>5426709</wp:posOffset>
                </wp:positionH>
                <wp:positionV relativeFrom="page">
                  <wp:posOffset>8634729</wp:posOffset>
                </wp:positionV>
                <wp:extent cx="2125345" cy="205422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2125345" cy="2054225"/>
                          <a:chExt cx="2125345" cy="2054225"/>
                        </a:xfrm>
                      </wpg:grpSpPr>
                      <wps:wsp>
                        <wps:cNvPr id="12" name="Graphic 12"/>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13" name="Textbox 13"/>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4</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51040" id="docshapegroup11" coordorigin="8546,13598" coordsize="3347,3235">
                <v:shape style="position:absolute;left:8546;top:13598;width:3347;height:3235" id="docshape12" coordorigin="8546,13598" coordsize="3347,3235" path="m11893,13598l8546,16833,11893,16833,11893,13598xe" filled="true" fillcolor="#d2eaf0" stroked="false">
                  <v:path arrowok="t"/>
                  <v:fill type="solid"/>
                </v:shape>
                <v:shape style="position:absolute;left:8546;top:13598;width:3347;height:3235" type="#_x0000_t202" id="docshape13"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4</w:t>
                        </w:r>
                      </w:p>
                    </w:txbxContent>
                  </v:textbox>
                  <w10:wrap type="none"/>
                </v:shape>
                <w10:wrap type="none"/>
              </v:group>
            </w:pict>
          </mc:Fallback>
        </mc:AlternateContent>
      </w:r>
    </w:p>
    <w:p>
      <w:pPr>
        <w:spacing w:after="0"/>
        <w:rPr>
          <w:sz w:val="2"/>
          <w:szCs w:val="2"/>
        </w:rPr>
        <w:sectPr>
          <w:type w:val="continuous"/>
          <w:pgSz w:w="11910" w:h="16840"/>
          <w:pgMar w:header="882" w:footer="0" w:top="1120" w:bottom="1588"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200"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第三</w:t>
            </w:r>
            <w:r>
              <w:rPr>
                <w:rFonts w:ascii="Microsoft JhengHei" w:eastAsia="Microsoft JhengHei"/>
                <w:b/>
                <w:spacing w:val="-10"/>
                <w:sz w:val="28"/>
              </w:rPr>
              <w:t>條</w:t>
            </w:r>
            <w:r>
              <w:rPr>
                <w:rFonts w:ascii="Microsoft JhengHei" w:eastAsia="Microsoft JhengHei"/>
                <w:b/>
                <w:sz w:val="28"/>
              </w:rPr>
              <w:tab/>
              <w:t>契約效</w:t>
            </w:r>
            <w:r>
              <w:rPr>
                <w:rFonts w:ascii="Microsoft JhengHei" w:eastAsia="Microsoft JhengHei"/>
                <w:b/>
                <w:spacing w:val="-10"/>
                <w:sz w:val="28"/>
              </w:rPr>
              <w:t>期</w:t>
            </w:r>
          </w:p>
          <w:p>
            <w:pPr>
              <w:pStyle w:val="TableParagraph"/>
              <w:tabs>
                <w:tab w:pos="3339" w:val="left" w:leader="none"/>
                <w:tab w:pos="4318" w:val="left" w:leader="none"/>
                <w:tab w:pos="5439" w:val="left" w:leader="none"/>
              </w:tabs>
              <w:spacing w:line="348" w:lineRule="exact"/>
              <w:ind w:left="1027"/>
              <w:rPr>
                <w:sz w:val="28"/>
              </w:rPr>
            </w:pPr>
            <w:r>
              <w:rPr>
                <w:spacing w:val="-2"/>
                <w:position w:val="14"/>
                <w:sz w:val="14"/>
              </w:rPr>
              <w:t>1</w:t>
            </w:r>
            <w:r>
              <w:rPr>
                <w:spacing w:val="-2"/>
                <w:sz w:val="28"/>
              </w:rPr>
              <w:t>自中華民</w:t>
            </w:r>
            <w:r>
              <w:rPr>
                <w:spacing w:val="-10"/>
                <w:sz w:val="28"/>
              </w:rPr>
              <w:t>國</w:t>
            </w:r>
            <w:r>
              <w:rPr>
                <w:rFonts w:ascii="Times New Roman" w:eastAsia="Times New Roman"/>
                <w:sz w:val="28"/>
                <w:u w:val="single"/>
              </w:rPr>
              <w:tab/>
            </w:r>
            <w:r>
              <w:rPr>
                <w:spacing w:val="-10"/>
                <w:sz w:val="28"/>
              </w:rPr>
              <w:t>年</w:t>
            </w:r>
            <w:r>
              <w:rPr>
                <w:rFonts w:ascii="Times New Roman" w:eastAsia="Times New Roman"/>
                <w:sz w:val="28"/>
                <w:u w:val="single"/>
              </w:rPr>
              <w:tab/>
            </w:r>
            <w:r>
              <w:rPr>
                <w:spacing w:val="-10"/>
                <w:sz w:val="28"/>
              </w:rPr>
              <w:t>月</w:t>
            </w:r>
            <w:r>
              <w:rPr>
                <w:rFonts w:ascii="Times New Roman" w:eastAsia="Times New Roman"/>
                <w:sz w:val="28"/>
                <w:u w:val="single"/>
              </w:rPr>
              <w:tab/>
            </w:r>
            <w:r>
              <w:rPr>
                <w:sz w:val="28"/>
              </w:rPr>
              <w:t>日至</w:t>
            </w:r>
            <w:r>
              <w:rPr>
                <w:spacing w:val="66"/>
                <w:w w:val="150"/>
                <w:sz w:val="28"/>
                <w:u w:val="single"/>
              </w:rPr>
              <w:t> </w:t>
            </w:r>
            <w:r>
              <w:rPr>
                <w:sz w:val="28"/>
                <w:u w:val="single"/>
              </w:rPr>
              <w:t>115</w:t>
            </w:r>
            <w:r>
              <w:rPr>
                <w:spacing w:val="68"/>
                <w:w w:val="150"/>
                <w:sz w:val="28"/>
                <w:u w:val="single"/>
              </w:rPr>
              <w:t> </w:t>
            </w:r>
            <w:r>
              <w:rPr>
                <w:sz w:val="28"/>
              </w:rPr>
              <w:t>年</w:t>
            </w:r>
            <w:r>
              <w:rPr>
                <w:spacing w:val="69"/>
                <w:w w:val="150"/>
                <w:sz w:val="28"/>
                <w:u w:val="single"/>
              </w:rPr>
              <w:t> </w:t>
            </w:r>
            <w:r>
              <w:rPr>
                <w:sz w:val="28"/>
                <w:u w:val="single"/>
              </w:rPr>
              <w:t>12</w:t>
            </w:r>
            <w:r>
              <w:rPr>
                <w:spacing w:val="67"/>
                <w:w w:val="150"/>
                <w:sz w:val="28"/>
                <w:u w:val="single"/>
              </w:rPr>
              <w:t> </w:t>
            </w:r>
            <w:r>
              <w:rPr>
                <w:sz w:val="28"/>
              </w:rPr>
              <w:t>月</w:t>
            </w:r>
            <w:r>
              <w:rPr>
                <w:spacing w:val="70"/>
                <w:w w:val="150"/>
                <w:sz w:val="28"/>
                <w:u w:val="single"/>
              </w:rPr>
              <w:t> </w:t>
            </w:r>
            <w:r>
              <w:rPr>
                <w:sz w:val="28"/>
                <w:u w:val="single"/>
              </w:rPr>
              <w:t>31</w:t>
            </w:r>
            <w:r>
              <w:rPr>
                <w:spacing w:val="68"/>
                <w:w w:val="150"/>
                <w:sz w:val="28"/>
                <w:u w:val="single"/>
              </w:rPr>
              <w:t> </w:t>
            </w:r>
            <w:r>
              <w:rPr>
                <w:sz w:val="28"/>
              </w:rPr>
              <w:t>日止</w:t>
            </w:r>
            <w:r>
              <w:rPr>
                <w:spacing w:val="-10"/>
                <w:sz w:val="28"/>
              </w:rPr>
              <w:t>。</w:t>
            </w:r>
          </w:p>
        </w:tc>
      </w:tr>
      <w:tr>
        <w:trPr>
          <w:trHeight w:val="1600"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第四</w:t>
            </w:r>
            <w:r>
              <w:rPr>
                <w:rFonts w:ascii="Microsoft JhengHei" w:eastAsia="Microsoft JhengHei"/>
                <w:b/>
                <w:spacing w:val="-10"/>
                <w:sz w:val="28"/>
              </w:rPr>
              <w:t>條</w:t>
            </w:r>
            <w:r>
              <w:rPr>
                <w:rFonts w:ascii="Microsoft JhengHei" w:eastAsia="Microsoft JhengHei"/>
                <w:b/>
                <w:sz w:val="28"/>
              </w:rPr>
              <w:tab/>
              <w:t>服務項目及支付</w:t>
            </w:r>
            <w:r>
              <w:rPr>
                <w:rFonts w:ascii="Georgia" w:eastAsia="Georgia"/>
                <w:b/>
                <w:sz w:val="28"/>
              </w:rPr>
              <w:t>/</w:t>
            </w:r>
            <w:r>
              <w:rPr>
                <w:rFonts w:ascii="Microsoft JhengHei" w:eastAsia="Microsoft JhengHei"/>
                <w:b/>
                <w:sz w:val="28"/>
              </w:rPr>
              <w:t>補</w:t>
            </w:r>
            <w:r>
              <w:rPr>
                <w:rFonts w:ascii="Georgia" w:eastAsia="Georgia"/>
                <w:b/>
                <w:sz w:val="28"/>
              </w:rPr>
              <w:t>(</w:t>
            </w:r>
            <w:r>
              <w:rPr>
                <w:rFonts w:ascii="Microsoft JhengHei" w:eastAsia="Microsoft JhengHei"/>
                <w:b/>
                <w:sz w:val="28"/>
              </w:rPr>
              <w:t>獎</w:t>
            </w:r>
            <w:r>
              <w:rPr>
                <w:rFonts w:ascii="Georgia" w:eastAsia="Georgia"/>
                <w:b/>
                <w:sz w:val="28"/>
              </w:rPr>
              <w:t>)</w:t>
            </w:r>
            <w:r>
              <w:rPr>
                <w:rFonts w:ascii="Microsoft JhengHei" w:eastAsia="Microsoft JhengHei"/>
                <w:b/>
                <w:sz w:val="28"/>
              </w:rPr>
              <w:t>助基</w:t>
            </w:r>
            <w:r>
              <w:rPr>
                <w:rFonts w:ascii="Microsoft JhengHei" w:eastAsia="Microsoft JhengHei"/>
                <w:b/>
                <w:spacing w:val="-10"/>
                <w:sz w:val="28"/>
              </w:rPr>
              <w:t>準</w:t>
            </w:r>
          </w:p>
          <w:p>
            <w:pPr>
              <w:pStyle w:val="TableParagraph"/>
              <w:spacing w:line="348" w:lineRule="exact"/>
              <w:ind w:left="347" w:firstLine="559"/>
              <w:rPr>
                <w:sz w:val="28"/>
              </w:rPr>
            </w:pPr>
            <w:r>
              <w:rPr>
                <w:spacing w:val="-3"/>
                <w:sz w:val="28"/>
              </w:rPr>
              <w:t>本契約履約服務項目之支付或補(獎)助基準，屬長照服務給付項目者，依據</w:t>
            </w:r>
          </w:p>
          <w:p>
            <w:pPr>
              <w:pStyle w:val="TableParagraph"/>
              <w:spacing w:line="400" w:lineRule="atLeast"/>
              <w:ind w:left="347" w:right="98"/>
              <w:rPr>
                <w:sz w:val="28"/>
              </w:rPr>
            </w:pPr>
            <w:r>
              <w:rPr>
                <w:spacing w:val="-2"/>
                <w:sz w:val="28"/>
              </w:rPr>
              <w:t>給付辦法附表四辦理；屬補(獎)助項目者，依據衛生福利部所定長照服務發展基金相關補(獎)助基準及居家失能個案家庭醫師照護方案辦理。</w:t>
            </w:r>
          </w:p>
        </w:tc>
      </w:tr>
      <w:tr>
        <w:trPr>
          <w:trHeight w:val="1599"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第五</w:t>
            </w:r>
            <w:r>
              <w:rPr>
                <w:rFonts w:ascii="Microsoft JhengHei" w:eastAsia="Microsoft JhengHei"/>
                <w:b/>
                <w:spacing w:val="-10"/>
                <w:sz w:val="28"/>
              </w:rPr>
              <w:t>條</w:t>
            </w:r>
            <w:r>
              <w:rPr>
                <w:rFonts w:ascii="Microsoft JhengHei" w:eastAsia="Microsoft JhengHei"/>
                <w:b/>
                <w:sz w:val="28"/>
              </w:rPr>
              <w:tab/>
              <w:t>支付</w:t>
            </w:r>
            <w:r>
              <w:rPr>
                <w:rFonts w:ascii="Georgia" w:eastAsia="Georgia"/>
                <w:b/>
                <w:sz w:val="28"/>
              </w:rPr>
              <w:t>/</w:t>
            </w:r>
            <w:r>
              <w:rPr>
                <w:rFonts w:ascii="Microsoft JhengHei" w:eastAsia="Microsoft JhengHei"/>
                <w:b/>
                <w:sz w:val="28"/>
              </w:rPr>
              <w:t>補</w:t>
            </w:r>
            <w:r>
              <w:rPr>
                <w:rFonts w:ascii="Georgia" w:eastAsia="Georgia"/>
                <w:b/>
                <w:sz w:val="28"/>
              </w:rPr>
              <w:t>(</w:t>
            </w:r>
            <w:r>
              <w:rPr>
                <w:rFonts w:ascii="Microsoft JhengHei" w:eastAsia="Microsoft JhengHei"/>
                <w:b/>
                <w:sz w:val="28"/>
              </w:rPr>
              <w:t>獎</w:t>
            </w:r>
            <w:r>
              <w:rPr>
                <w:rFonts w:ascii="Georgia" w:eastAsia="Georgia"/>
                <w:b/>
                <w:sz w:val="28"/>
              </w:rPr>
              <w:t>)</w:t>
            </w:r>
            <w:r>
              <w:rPr>
                <w:rFonts w:ascii="Microsoft JhengHei" w:eastAsia="Microsoft JhengHei"/>
                <w:b/>
                <w:sz w:val="28"/>
              </w:rPr>
              <w:t>助基準之調</w:t>
            </w:r>
            <w:r>
              <w:rPr>
                <w:rFonts w:ascii="Microsoft JhengHei" w:eastAsia="Microsoft JhengHei"/>
                <w:b/>
                <w:spacing w:val="-10"/>
                <w:sz w:val="28"/>
              </w:rPr>
              <w:t>整</w:t>
            </w:r>
          </w:p>
          <w:p>
            <w:pPr>
              <w:pStyle w:val="TableParagraph"/>
              <w:spacing w:line="266" w:lineRule="auto"/>
              <w:ind w:left="347" w:right="95" w:firstLine="562"/>
              <w:rPr>
                <w:sz w:val="28"/>
              </w:rPr>
            </w:pPr>
            <w:r>
              <w:rPr>
                <w:spacing w:val="-2"/>
                <w:sz w:val="28"/>
              </w:rPr>
              <w:t>長照服務給付項目或補(獎)助基準調整，或契約內容改變時，甲方有權逕通</w:t>
            </w:r>
            <w:r>
              <w:rPr>
                <w:spacing w:val="11"/>
                <w:sz w:val="28"/>
              </w:rPr>
              <w:t>知乙方辦理契約變更；乙方如無意願配合契約變更，應自收受通知後</w:t>
            </w:r>
            <w:r>
              <w:rPr>
                <w:spacing w:val="10"/>
                <w:sz w:val="28"/>
                <w:u w:val="single"/>
              </w:rPr>
              <w:t> </w:t>
            </w:r>
            <w:r>
              <w:rPr>
                <w:sz w:val="28"/>
                <w:u w:val="single"/>
              </w:rPr>
              <w:t>10</w:t>
            </w:r>
            <w:r>
              <w:rPr>
                <w:spacing w:val="11"/>
                <w:sz w:val="28"/>
                <w:u w:val="single"/>
              </w:rPr>
              <w:t>  </w:t>
            </w:r>
            <w:r>
              <w:rPr>
                <w:spacing w:val="-10"/>
                <w:sz w:val="28"/>
              </w:rPr>
              <w:t>日</w:t>
            </w:r>
          </w:p>
          <w:p>
            <w:pPr>
              <w:pStyle w:val="TableParagraph"/>
              <w:spacing w:line="339" w:lineRule="exact"/>
              <w:ind w:left="347"/>
              <w:rPr>
                <w:sz w:val="28"/>
              </w:rPr>
            </w:pPr>
            <w:r>
              <w:rPr>
                <w:spacing w:val="-3"/>
                <w:sz w:val="28"/>
              </w:rPr>
              <w:t>內，以書面通知甲方辦理終止契約。</w:t>
            </w:r>
          </w:p>
        </w:tc>
      </w:tr>
      <w:tr>
        <w:trPr>
          <w:trHeight w:val="7601"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第六</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服務費用申報、受理及補</w:t>
            </w:r>
            <w:r>
              <w:rPr>
                <w:rFonts w:ascii="Microsoft JhengHei" w:eastAsia="Microsoft JhengHei"/>
                <w:b/>
                <w:spacing w:val="-10"/>
                <w:sz w:val="28"/>
              </w:rPr>
              <w:t>件</w:t>
            </w:r>
          </w:p>
          <w:p>
            <w:pPr>
              <w:pStyle w:val="TableParagraph"/>
              <w:spacing w:line="348" w:lineRule="exact"/>
              <w:ind w:left="907"/>
              <w:rPr>
                <w:sz w:val="28"/>
              </w:rPr>
            </w:pPr>
            <w:r>
              <w:rPr>
                <w:position w:val="14"/>
                <w:sz w:val="14"/>
              </w:rPr>
              <w:t>1</w:t>
            </w:r>
            <w:r>
              <w:rPr>
                <w:sz w:val="28"/>
              </w:rPr>
              <w:t>乙方應依特管辦法第十八條規定，於提供服務後</w:t>
            </w:r>
            <w:r>
              <w:rPr>
                <w:spacing w:val="55"/>
                <w:w w:val="150"/>
                <w:sz w:val="28"/>
                <w:u w:val="single"/>
              </w:rPr>
              <w:t> </w:t>
            </w:r>
            <w:r>
              <w:rPr>
                <w:sz w:val="28"/>
                <w:u w:val="single"/>
              </w:rPr>
              <w:t>7</w:t>
            </w:r>
            <w:r>
              <w:rPr>
                <w:spacing w:val="57"/>
                <w:w w:val="150"/>
                <w:sz w:val="28"/>
                <w:u w:val="single"/>
              </w:rPr>
              <w:t> </w:t>
            </w:r>
            <w:r>
              <w:rPr>
                <w:spacing w:val="-1"/>
                <w:sz w:val="28"/>
              </w:rPr>
              <w:t>日內(工作天)，依甲</w:t>
            </w:r>
          </w:p>
          <w:p>
            <w:pPr>
              <w:pStyle w:val="TableParagraph"/>
              <w:spacing w:before="39"/>
              <w:ind w:left="347"/>
              <w:rPr>
                <w:sz w:val="28"/>
              </w:rPr>
            </w:pPr>
            <w:r>
              <w:rPr>
                <w:spacing w:val="-3"/>
                <w:sz w:val="28"/>
              </w:rPr>
              <w:t>方指定之內容或格式，將服務資訊登載於甲方指定之資訊系統。</w:t>
            </w:r>
          </w:p>
          <w:p>
            <w:pPr>
              <w:pStyle w:val="TableParagraph"/>
              <w:spacing w:line="266" w:lineRule="auto" w:before="42"/>
              <w:ind w:left="347" w:right="95" w:firstLine="559"/>
              <w:jc w:val="both"/>
              <w:rPr>
                <w:sz w:val="28"/>
              </w:rPr>
            </w:pPr>
            <w:r>
              <w:rPr>
                <w:position w:val="14"/>
                <w:sz w:val="14"/>
              </w:rPr>
              <w:t>2</w:t>
            </w:r>
            <w:r>
              <w:rPr>
                <w:sz w:val="28"/>
              </w:rPr>
              <w:t>乙方提供服務後，應依特管辦法第三十八條規定，於次月</w:t>
            </w:r>
            <w:r>
              <w:rPr>
                <w:sz w:val="28"/>
                <w:u w:val="single"/>
              </w:rPr>
              <w:t> 10</w:t>
            </w:r>
            <w:r>
              <w:rPr>
                <w:spacing w:val="40"/>
                <w:sz w:val="28"/>
                <w:u w:val="single"/>
              </w:rPr>
              <w:t> </w:t>
            </w:r>
            <w:r>
              <w:rPr>
                <w:sz w:val="28"/>
              </w:rPr>
              <w:t>日前至甲方指定之資訊系統完成申報作業，並於甲方完成審核後之次日起</w:t>
            </w:r>
            <w:r>
              <w:rPr>
                <w:spacing w:val="12"/>
                <w:sz w:val="28"/>
                <w:u w:val="single"/>
              </w:rPr>
              <w:t> </w:t>
            </w:r>
            <w:r>
              <w:rPr>
                <w:sz w:val="28"/>
                <w:u w:val="single"/>
              </w:rPr>
              <w:t>5 </w:t>
            </w:r>
            <w:r>
              <w:rPr>
                <w:sz w:val="28"/>
              </w:rPr>
              <w:t>日內，檢具下</w:t>
            </w:r>
            <w:r>
              <w:rPr>
                <w:spacing w:val="-2"/>
                <w:sz w:val="28"/>
              </w:rPr>
              <w:t>列文件、資料，向甲方申報服務費用：</w:t>
            </w:r>
          </w:p>
          <w:p>
            <w:pPr>
              <w:pStyle w:val="TableParagraph"/>
              <w:numPr>
                <w:ilvl w:val="0"/>
                <w:numId w:val="5"/>
              </w:numPr>
              <w:tabs>
                <w:tab w:pos="1275" w:val="left" w:leader="none"/>
              </w:tabs>
              <w:spacing w:line="240" w:lineRule="auto" w:before="6" w:after="0"/>
              <w:ind w:left="1275" w:right="0" w:hanging="565"/>
              <w:jc w:val="left"/>
              <w:rPr>
                <w:sz w:val="28"/>
              </w:rPr>
            </w:pPr>
            <w:r>
              <w:rPr>
                <w:spacing w:val="-3"/>
                <w:sz w:val="28"/>
              </w:rPr>
              <w:t>領款收據。但服務項目為居家失能個案家庭醫師照護服務者免附。</w:t>
            </w:r>
          </w:p>
          <w:p>
            <w:pPr>
              <w:pStyle w:val="TableParagraph"/>
              <w:numPr>
                <w:ilvl w:val="0"/>
                <w:numId w:val="5"/>
              </w:numPr>
              <w:tabs>
                <w:tab w:pos="1275" w:val="left" w:leader="none"/>
              </w:tabs>
              <w:spacing w:line="240" w:lineRule="auto" w:before="42" w:after="0"/>
              <w:ind w:left="1275" w:right="0" w:hanging="565"/>
              <w:jc w:val="left"/>
              <w:rPr>
                <w:sz w:val="28"/>
              </w:rPr>
            </w:pPr>
            <w:r>
              <w:rPr>
                <w:spacing w:val="-3"/>
                <w:sz w:val="28"/>
              </w:rPr>
              <w:t>經乙方用印之服務費用總表。</w:t>
            </w:r>
          </w:p>
          <w:p>
            <w:pPr>
              <w:pStyle w:val="TableParagraph"/>
              <w:numPr>
                <w:ilvl w:val="0"/>
                <w:numId w:val="5"/>
              </w:numPr>
              <w:tabs>
                <w:tab w:pos="1275" w:val="left" w:leader="none"/>
              </w:tabs>
              <w:spacing w:line="240" w:lineRule="auto" w:before="40" w:after="0"/>
              <w:ind w:left="1275" w:right="0" w:hanging="565"/>
              <w:jc w:val="left"/>
              <w:rPr>
                <w:sz w:val="28"/>
              </w:rPr>
            </w:pPr>
            <w:r>
              <w:rPr>
                <w:spacing w:val="-3"/>
                <w:sz w:val="28"/>
              </w:rPr>
              <w:t>服務費用項目清冊。</w:t>
            </w:r>
          </w:p>
          <w:p>
            <w:pPr>
              <w:pStyle w:val="TableParagraph"/>
              <w:spacing w:before="42"/>
              <w:rPr>
                <w:sz w:val="28"/>
              </w:rPr>
            </w:pPr>
            <w:r>
              <w:rPr>
                <w:position w:val="14"/>
                <w:sz w:val="14"/>
              </w:rPr>
              <w:t>3</w:t>
            </w:r>
            <w:r>
              <w:rPr>
                <w:spacing w:val="-1"/>
                <w:sz w:val="28"/>
              </w:rPr>
              <w:t>乙方逾前項規定期限申報服務費用者，甲方得併同次月申報之服務費用審</w:t>
            </w:r>
          </w:p>
          <w:p>
            <w:pPr>
              <w:pStyle w:val="TableParagraph"/>
              <w:spacing w:before="42"/>
              <w:ind w:left="347"/>
              <w:rPr>
                <w:sz w:val="28"/>
              </w:rPr>
            </w:pPr>
            <w:r>
              <w:rPr>
                <w:spacing w:val="-3"/>
                <w:sz w:val="28"/>
              </w:rPr>
              <w:t>查；乙方至遲應於提供服務次月十日起三個月內完成申報。</w:t>
            </w:r>
          </w:p>
          <w:p>
            <w:pPr>
              <w:pStyle w:val="TableParagraph"/>
              <w:spacing w:before="40"/>
              <w:rPr>
                <w:sz w:val="28"/>
              </w:rPr>
            </w:pPr>
            <w:r>
              <w:rPr>
                <w:position w:val="14"/>
                <w:sz w:val="14"/>
              </w:rPr>
              <w:t>4</w:t>
            </w:r>
            <w:r>
              <w:rPr>
                <w:spacing w:val="-1"/>
                <w:sz w:val="28"/>
              </w:rPr>
              <w:t>乙方所檢具文件、資料或填報內容有缺漏或錯誤者，甲方應依特管辦法第</w:t>
            </w:r>
          </w:p>
          <w:p>
            <w:pPr>
              <w:pStyle w:val="TableParagraph"/>
              <w:spacing w:before="42"/>
              <w:ind w:left="347"/>
              <w:rPr>
                <w:sz w:val="28"/>
              </w:rPr>
            </w:pPr>
            <w:r>
              <w:rPr>
                <w:spacing w:val="-3"/>
                <w:sz w:val="28"/>
              </w:rPr>
              <w:t>三十九條規定，敘明理由並以書面通知其限期補正。</w:t>
            </w:r>
          </w:p>
          <w:p>
            <w:pPr>
              <w:pStyle w:val="TableParagraph"/>
              <w:spacing w:before="42"/>
              <w:rPr>
                <w:sz w:val="28"/>
              </w:rPr>
            </w:pPr>
            <w:r>
              <w:rPr>
                <w:position w:val="14"/>
                <w:sz w:val="14"/>
              </w:rPr>
              <w:t>5</w:t>
            </w:r>
            <w:r>
              <w:rPr>
                <w:spacing w:val="-1"/>
                <w:sz w:val="28"/>
              </w:rPr>
              <w:t>甲方應於乙方備齊相關文件、資料之次日起十日內完成審查，並於完成審</w:t>
            </w:r>
          </w:p>
          <w:p>
            <w:pPr>
              <w:pStyle w:val="TableParagraph"/>
              <w:spacing w:before="39"/>
              <w:ind w:left="347"/>
              <w:rPr>
                <w:sz w:val="28"/>
              </w:rPr>
            </w:pPr>
            <w:r>
              <w:rPr>
                <w:spacing w:val="-3"/>
                <w:sz w:val="28"/>
              </w:rPr>
              <w:t>查後三十日內，依審查結果支付服務費用。</w:t>
            </w:r>
          </w:p>
          <w:p>
            <w:pPr>
              <w:pStyle w:val="TableParagraph"/>
              <w:spacing w:before="43"/>
              <w:ind w:left="0" w:right="102"/>
              <w:jc w:val="right"/>
              <w:rPr>
                <w:sz w:val="28"/>
              </w:rPr>
            </w:pPr>
            <w:r>
              <w:rPr>
                <w:position w:val="14"/>
                <w:sz w:val="14"/>
              </w:rPr>
              <w:t>6</w:t>
            </w:r>
            <w:r>
              <w:rPr>
                <w:spacing w:val="-1"/>
                <w:sz w:val="28"/>
              </w:rPr>
              <w:t>服務項目為居家失能個案家庭醫師照護服務者，甲方完成審查之服務費用</w:t>
            </w:r>
          </w:p>
          <w:p>
            <w:pPr>
              <w:pStyle w:val="TableParagraph"/>
              <w:spacing w:before="42"/>
              <w:ind w:left="0" w:right="109"/>
              <w:jc w:val="right"/>
              <w:rPr>
                <w:sz w:val="28"/>
              </w:rPr>
            </w:pPr>
            <w:r>
              <w:rPr>
                <w:spacing w:val="-3"/>
                <w:sz w:val="28"/>
              </w:rPr>
              <w:t>申報資料，以資訊系統送衛生福利部彙整，由中央健康保險署代為撥付予乙方。</w:t>
            </w:r>
          </w:p>
          <w:p>
            <w:pPr>
              <w:pStyle w:val="TableParagraph"/>
              <w:spacing w:before="40"/>
              <w:ind w:left="0" w:right="102"/>
              <w:jc w:val="right"/>
              <w:rPr>
                <w:sz w:val="28"/>
              </w:rPr>
            </w:pPr>
            <w:r>
              <w:rPr>
                <w:position w:val="14"/>
                <w:sz w:val="14"/>
              </w:rPr>
              <w:t>7</w:t>
            </w:r>
            <w:r>
              <w:rPr>
                <w:spacing w:val="-1"/>
                <w:sz w:val="28"/>
              </w:rPr>
              <w:t>乙方未能於提供服務之次月十日起三個月內完成補正者，甲方支付服務費</w:t>
            </w:r>
          </w:p>
          <w:p>
            <w:pPr>
              <w:pStyle w:val="TableParagraph"/>
              <w:spacing w:line="339" w:lineRule="exact" w:before="42"/>
              <w:ind w:left="347"/>
              <w:rPr>
                <w:sz w:val="28"/>
              </w:rPr>
            </w:pPr>
            <w:r>
              <w:rPr>
                <w:spacing w:val="-3"/>
                <w:sz w:val="28"/>
              </w:rPr>
              <w:t>用，得不受特管辦法第三十九條第二項之審查及支付期限之限制。</w:t>
            </w:r>
          </w:p>
        </w:tc>
      </w:tr>
      <w:tr>
        <w:trPr>
          <w:trHeight w:val="1600" w:hRule="atLeast"/>
        </w:trPr>
        <w:tc>
          <w:tcPr>
            <w:tcW w:w="10267" w:type="dxa"/>
          </w:tcPr>
          <w:p>
            <w:pPr>
              <w:pStyle w:val="TableParagraph"/>
              <w:tabs>
                <w:tab w:pos="1228" w:val="left" w:leader="none"/>
              </w:tabs>
              <w:spacing w:line="452" w:lineRule="exact"/>
              <w:ind w:left="107"/>
              <w:rPr>
                <w:rFonts w:ascii="Microsoft JhengHei" w:eastAsia="Microsoft JhengHei"/>
                <w:b/>
                <w:sz w:val="28"/>
              </w:rPr>
            </w:pPr>
            <w:r>
              <w:rPr>
                <w:rFonts w:ascii="Microsoft JhengHei" w:eastAsia="Microsoft JhengHei"/>
                <w:b/>
                <w:sz w:val="28"/>
              </w:rPr>
              <w:t>第七</w:t>
            </w:r>
            <w:r>
              <w:rPr>
                <w:rFonts w:ascii="Microsoft JhengHei" w:eastAsia="Microsoft JhengHei"/>
                <w:b/>
                <w:spacing w:val="-10"/>
                <w:sz w:val="28"/>
              </w:rPr>
              <w:t>條</w:t>
            </w:r>
            <w:r>
              <w:rPr>
                <w:rFonts w:ascii="Microsoft JhengHei" w:eastAsia="Microsoft JhengHei"/>
                <w:b/>
                <w:sz w:val="28"/>
              </w:rPr>
              <w:tab/>
              <w:t>審</w:t>
            </w:r>
            <w:r>
              <w:rPr>
                <w:rFonts w:ascii="Microsoft JhengHei" w:eastAsia="Microsoft JhengHei"/>
                <w:b/>
                <w:spacing w:val="-10"/>
                <w:sz w:val="28"/>
              </w:rPr>
              <w:t>查</w:t>
            </w:r>
          </w:p>
          <w:p>
            <w:pPr>
              <w:pStyle w:val="TableParagraph"/>
              <w:spacing w:line="347" w:lineRule="exact"/>
              <w:ind w:left="907"/>
              <w:rPr>
                <w:sz w:val="28"/>
              </w:rPr>
            </w:pPr>
            <w:r>
              <w:rPr>
                <w:spacing w:val="-2"/>
                <w:position w:val="14"/>
                <w:sz w:val="14"/>
              </w:rPr>
              <w:t>1</w:t>
            </w:r>
            <w:r>
              <w:rPr>
                <w:spacing w:val="-3"/>
                <w:sz w:val="28"/>
              </w:rPr>
              <w:t>甲方應就乙方申報服務費用案件，依下列項目辦理審查：</w:t>
            </w:r>
          </w:p>
          <w:p>
            <w:pPr>
              <w:pStyle w:val="TableParagraph"/>
              <w:numPr>
                <w:ilvl w:val="0"/>
                <w:numId w:val="6"/>
              </w:numPr>
              <w:tabs>
                <w:tab w:pos="1275" w:val="left" w:leader="none"/>
              </w:tabs>
              <w:spacing w:line="240" w:lineRule="auto" w:before="42" w:after="0"/>
              <w:ind w:left="1275" w:right="0" w:hanging="565"/>
              <w:jc w:val="left"/>
              <w:rPr>
                <w:sz w:val="28"/>
              </w:rPr>
            </w:pPr>
            <w:r>
              <w:rPr>
                <w:spacing w:val="-3"/>
                <w:sz w:val="28"/>
              </w:rPr>
              <w:t>長照給付服務對象及服務人員資格。</w:t>
            </w:r>
          </w:p>
          <w:p>
            <w:pPr>
              <w:pStyle w:val="TableParagraph"/>
              <w:numPr>
                <w:ilvl w:val="0"/>
                <w:numId w:val="6"/>
              </w:numPr>
              <w:tabs>
                <w:tab w:pos="1275" w:val="left" w:leader="none"/>
              </w:tabs>
              <w:spacing w:line="339" w:lineRule="exact" w:before="42" w:after="0"/>
              <w:ind w:left="1275" w:right="0" w:hanging="565"/>
              <w:jc w:val="left"/>
              <w:rPr>
                <w:sz w:val="28"/>
              </w:rPr>
            </w:pPr>
            <w:r>
              <w:rPr>
                <w:spacing w:val="-3"/>
                <w:sz w:val="28"/>
              </w:rPr>
              <w:t>服務給付額度。但服務項目為居家失能個案家庭醫師服務者免審查。</w:t>
            </w:r>
          </w:p>
        </w:tc>
      </w:tr>
    </w:tbl>
    <w:p>
      <w:pPr>
        <w:rPr>
          <w:sz w:val="2"/>
          <w:szCs w:val="2"/>
        </w:rPr>
      </w:pPr>
      <w:r>
        <w:rPr>
          <w:sz w:val="2"/>
          <w:szCs w:val="2"/>
        </w:rPr>
        <mc:AlternateContent>
          <mc:Choice Requires="wps">
            <w:drawing>
              <wp:anchor distT="0" distB="0" distL="0" distR="0" allowOverlap="1" layoutInCell="1" locked="0" behindDoc="1" simplePos="0" relativeHeight="487165952">
                <wp:simplePos x="0" y="0"/>
                <wp:positionH relativeFrom="page">
                  <wp:posOffset>5426709</wp:posOffset>
                </wp:positionH>
                <wp:positionV relativeFrom="page">
                  <wp:posOffset>8634729</wp:posOffset>
                </wp:positionV>
                <wp:extent cx="2125345" cy="205422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2125345" cy="2054225"/>
                          <a:chExt cx="2125345" cy="2054225"/>
                        </a:xfrm>
                      </wpg:grpSpPr>
                      <wps:wsp>
                        <wps:cNvPr id="15" name="Graphic 15"/>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16" name="Textbox 16"/>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5</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50528" id="docshapegroup14" coordorigin="8546,13598" coordsize="3347,3235">
                <v:shape style="position:absolute;left:8546;top:13598;width:3347;height:3235" id="docshape15" coordorigin="8546,13598" coordsize="3347,3235" path="m11893,13598l8546,16833,11893,16833,11893,13598xe" filled="true" fillcolor="#d2eaf0" stroked="false">
                  <v:path arrowok="t"/>
                  <v:fill type="solid"/>
                </v:shape>
                <v:shape style="position:absolute;left:8546;top:13598;width:3347;height:3235" type="#_x0000_t202" id="docshape16"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5</w:t>
                        </w:r>
                      </w:p>
                    </w:txbxContent>
                  </v:textbox>
                  <w10:wrap type="none"/>
                </v:shape>
                <w10:wrap type="none"/>
              </v:group>
            </w:pict>
          </mc:Fallback>
        </mc:AlternateContent>
      </w:r>
    </w:p>
    <w:p>
      <w:pPr>
        <w:spacing w:after="0"/>
        <w:rPr>
          <w:sz w:val="2"/>
          <w:szCs w:val="2"/>
        </w:rPr>
        <w:sectPr>
          <w:type w:val="continuous"/>
          <w:pgSz w:w="11910" w:h="16840"/>
          <w:pgMar w:header="882" w:footer="0" w:top="1120" w:bottom="1448"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600" w:hRule="atLeast"/>
        </w:trPr>
        <w:tc>
          <w:tcPr>
            <w:tcW w:w="10267" w:type="dxa"/>
          </w:tcPr>
          <w:p>
            <w:pPr>
              <w:pStyle w:val="TableParagraph"/>
              <w:numPr>
                <w:ilvl w:val="0"/>
                <w:numId w:val="7"/>
              </w:numPr>
              <w:tabs>
                <w:tab w:pos="1275" w:val="left" w:leader="none"/>
                <w:tab w:pos="1277" w:val="left" w:leader="none"/>
              </w:tabs>
              <w:spacing w:line="268" w:lineRule="auto" w:before="42" w:after="0"/>
              <w:ind w:left="1277" w:right="160" w:hanging="567"/>
              <w:jc w:val="left"/>
              <w:rPr>
                <w:sz w:val="28"/>
              </w:rPr>
            </w:pPr>
            <w:r>
              <w:rPr>
                <w:spacing w:val="-2"/>
                <w:sz w:val="28"/>
              </w:rPr>
              <w:t>照顧計畫服務項目、給付辦法附表四所定之照顧組合數及支付價格之核</w:t>
            </w:r>
            <w:r>
              <w:rPr>
                <w:spacing w:val="-6"/>
                <w:sz w:val="28"/>
              </w:rPr>
              <w:t>對。</w:t>
            </w:r>
          </w:p>
          <w:p>
            <w:pPr>
              <w:pStyle w:val="TableParagraph"/>
              <w:numPr>
                <w:ilvl w:val="0"/>
                <w:numId w:val="7"/>
              </w:numPr>
              <w:tabs>
                <w:tab w:pos="1275" w:val="left" w:leader="none"/>
              </w:tabs>
              <w:spacing w:line="354" w:lineRule="exact" w:before="0" w:after="0"/>
              <w:ind w:left="1275" w:right="0" w:hanging="565"/>
              <w:jc w:val="left"/>
              <w:rPr>
                <w:sz w:val="28"/>
              </w:rPr>
            </w:pPr>
            <w:r>
              <w:rPr>
                <w:spacing w:val="-3"/>
                <w:sz w:val="28"/>
              </w:rPr>
              <w:t>登載於資訊系統服務內容之完整性及正確性。</w:t>
            </w:r>
          </w:p>
          <w:p>
            <w:pPr>
              <w:pStyle w:val="TableParagraph"/>
              <w:numPr>
                <w:ilvl w:val="0"/>
                <w:numId w:val="7"/>
              </w:numPr>
              <w:tabs>
                <w:tab w:pos="1275" w:val="left" w:leader="none"/>
              </w:tabs>
              <w:spacing w:line="339" w:lineRule="exact" w:before="42" w:after="0"/>
              <w:ind w:left="1275" w:right="0" w:hanging="565"/>
              <w:jc w:val="left"/>
              <w:rPr>
                <w:sz w:val="28"/>
              </w:rPr>
            </w:pPr>
            <w:r>
              <w:rPr>
                <w:spacing w:val="-3"/>
                <w:sz w:val="28"/>
              </w:rPr>
              <w:t>其他甲方認定應審核之事項。</w:t>
            </w:r>
          </w:p>
        </w:tc>
      </w:tr>
      <w:tr>
        <w:trPr>
          <w:trHeight w:val="4800"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第八</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暫付服務費</w:t>
            </w:r>
            <w:r>
              <w:rPr>
                <w:rFonts w:ascii="Microsoft JhengHei" w:eastAsia="Microsoft JhengHei"/>
                <w:b/>
                <w:spacing w:val="-10"/>
                <w:sz w:val="28"/>
              </w:rPr>
              <w:t>用</w:t>
            </w:r>
          </w:p>
          <w:p>
            <w:pPr>
              <w:pStyle w:val="TableParagraph"/>
              <w:tabs>
                <w:tab w:pos="6207" w:val="left" w:leader="none"/>
              </w:tabs>
              <w:spacing w:line="348" w:lineRule="exact"/>
              <w:ind w:left="907"/>
              <w:rPr>
                <w:sz w:val="28"/>
              </w:rPr>
            </w:pPr>
            <w:r>
              <w:rPr>
                <w:position w:val="14"/>
                <w:sz w:val="14"/>
              </w:rPr>
              <w:t>1</w:t>
            </w:r>
            <w:r>
              <w:rPr>
                <w:sz w:val="28"/>
              </w:rPr>
              <w:t>甲方應於受理乙方服務費用申報之日</w:t>
            </w:r>
            <w:r>
              <w:rPr>
                <w:spacing w:val="-10"/>
                <w:sz w:val="28"/>
              </w:rPr>
              <w:t>起</w:t>
            </w:r>
            <w:r>
              <w:rPr>
                <w:rFonts w:ascii="Times New Roman" w:eastAsia="Times New Roman"/>
                <w:sz w:val="28"/>
                <w:u w:val="single"/>
              </w:rPr>
              <w:tab/>
            </w:r>
            <w:r>
              <w:rPr>
                <w:sz w:val="28"/>
              </w:rPr>
              <w:t>日內，辦理暫付事宜，成數規</w:t>
            </w:r>
            <w:r>
              <w:rPr>
                <w:spacing w:val="-10"/>
                <w:sz w:val="28"/>
              </w:rPr>
              <w:t>定</w:t>
            </w:r>
          </w:p>
          <w:p>
            <w:pPr>
              <w:pStyle w:val="TableParagraph"/>
              <w:spacing w:before="39"/>
              <w:ind w:left="347"/>
              <w:rPr>
                <w:sz w:val="28"/>
              </w:rPr>
            </w:pPr>
            <w:r>
              <w:rPr>
                <w:spacing w:val="-4"/>
                <w:sz w:val="28"/>
              </w:rPr>
              <w:t>如下：</w:t>
            </w:r>
          </w:p>
          <w:p>
            <w:pPr>
              <w:pStyle w:val="TableParagraph"/>
              <w:numPr>
                <w:ilvl w:val="0"/>
                <w:numId w:val="8"/>
              </w:numPr>
              <w:tabs>
                <w:tab w:pos="1275" w:val="left" w:leader="none"/>
                <w:tab w:pos="1277" w:val="left" w:leader="none"/>
                <w:tab w:pos="3799" w:val="left" w:leader="none"/>
              </w:tabs>
              <w:spacing w:line="268" w:lineRule="auto" w:before="42" w:after="0"/>
              <w:ind w:left="1277" w:right="162" w:hanging="567"/>
              <w:jc w:val="left"/>
              <w:rPr>
                <w:sz w:val="28"/>
              </w:rPr>
            </w:pPr>
            <w:r>
              <w:rPr>
                <w:spacing w:val="12"/>
                <w:sz w:val="28"/>
              </w:rPr>
              <w:t>核付紀錄</w:t>
            </w:r>
            <w:r>
              <w:rPr>
                <w:spacing w:val="11"/>
                <w:sz w:val="28"/>
              </w:rPr>
              <w:t>滿</w:t>
            </w:r>
            <w:r>
              <w:rPr>
                <w:spacing w:val="12"/>
                <w:sz w:val="28"/>
              </w:rPr>
              <w:t>三個</w:t>
            </w:r>
            <w:r>
              <w:rPr>
                <w:spacing w:val="11"/>
                <w:sz w:val="28"/>
              </w:rPr>
              <w:t>月</w:t>
            </w:r>
            <w:r>
              <w:rPr>
                <w:spacing w:val="12"/>
                <w:sz w:val="28"/>
              </w:rPr>
              <w:t>以上，且</w:t>
            </w:r>
            <w:r>
              <w:rPr>
                <w:spacing w:val="11"/>
                <w:sz w:val="28"/>
              </w:rPr>
              <w:t>最</w:t>
            </w:r>
            <w:r>
              <w:rPr>
                <w:spacing w:val="12"/>
                <w:sz w:val="28"/>
              </w:rPr>
              <w:t>近三</w:t>
            </w:r>
            <w:r>
              <w:rPr>
                <w:spacing w:val="11"/>
                <w:sz w:val="28"/>
              </w:rPr>
              <w:t>個</w:t>
            </w:r>
            <w:r>
              <w:rPr>
                <w:spacing w:val="12"/>
                <w:sz w:val="28"/>
              </w:rPr>
              <w:t>月經甲方</w:t>
            </w:r>
            <w:r>
              <w:rPr>
                <w:spacing w:val="11"/>
                <w:sz w:val="28"/>
              </w:rPr>
              <w:t>核</w:t>
            </w:r>
            <w:r>
              <w:rPr>
                <w:spacing w:val="12"/>
                <w:sz w:val="28"/>
              </w:rPr>
              <w:t>減申</w:t>
            </w:r>
            <w:r>
              <w:rPr>
                <w:spacing w:val="11"/>
                <w:sz w:val="28"/>
              </w:rPr>
              <w:t>報</w:t>
            </w:r>
            <w:r>
              <w:rPr>
                <w:spacing w:val="12"/>
                <w:sz w:val="28"/>
              </w:rPr>
              <w:t>金額未滿</w:t>
            </w:r>
            <w:r>
              <w:rPr>
                <w:spacing w:val="11"/>
                <w:sz w:val="28"/>
              </w:rPr>
              <w:t>三</w:t>
            </w:r>
            <w:r>
              <w:rPr>
                <w:sz w:val="28"/>
              </w:rPr>
              <w:t>次</w:t>
            </w:r>
            <w:r>
              <w:rPr>
                <w:spacing w:val="-2"/>
                <w:sz w:val="28"/>
              </w:rPr>
              <w:t>者，暫付百分之</w:t>
            </w:r>
            <w:r>
              <w:rPr>
                <w:rFonts w:ascii="Times New Roman" w:eastAsia="Times New Roman"/>
                <w:sz w:val="28"/>
                <w:u w:val="single"/>
              </w:rPr>
              <w:tab/>
            </w:r>
            <w:r>
              <w:rPr>
                <w:spacing w:val="-2"/>
                <w:sz w:val="28"/>
              </w:rPr>
              <w:t>(至少百分之八十)。</w:t>
            </w:r>
          </w:p>
          <w:p>
            <w:pPr>
              <w:pStyle w:val="TableParagraph"/>
              <w:numPr>
                <w:ilvl w:val="0"/>
                <w:numId w:val="8"/>
              </w:numPr>
              <w:tabs>
                <w:tab w:pos="1275" w:val="left" w:leader="none"/>
                <w:tab w:pos="1277" w:val="left" w:leader="none"/>
              </w:tabs>
              <w:spacing w:line="268" w:lineRule="auto" w:before="0" w:after="0"/>
              <w:ind w:left="1277" w:right="162" w:hanging="567"/>
              <w:jc w:val="left"/>
              <w:rPr>
                <w:sz w:val="28"/>
              </w:rPr>
            </w:pPr>
            <w:r>
              <w:rPr>
                <w:spacing w:val="10"/>
                <w:sz w:val="28"/>
              </w:rPr>
              <w:t>核付紀錄滿三個月以上，且最近三個月經甲方核減申領金額達三次以</w:t>
            </w:r>
            <w:r>
              <w:rPr>
                <w:spacing w:val="-2"/>
                <w:sz w:val="28"/>
              </w:rPr>
              <w:t>上，未滿五次者，暫付百分之七十。</w:t>
            </w:r>
          </w:p>
          <w:p>
            <w:pPr>
              <w:pStyle w:val="TableParagraph"/>
              <w:numPr>
                <w:ilvl w:val="0"/>
                <w:numId w:val="8"/>
              </w:numPr>
              <w:tabs>
                <w:tab w:pos="1275" w:val="left" w:leader="none"/>
              </w:tabs>
              <w:spacing w:line="357" w:lineRule="exact" w:before="0" w:after="0"/>
              <w:ind w:left="1275" w:right="0" w:hanging="565"/>
              <w:jc w:val="left"/>
              <w:rPr>
                <w:sz w:val="28"/>
              </w:rPr>
            </w:pPr>
            <w:r>
              <w:rPr>
                <w:spacing w:val="-3"/>
                <w:sz w:val="28"/>
              </w:rPr>
              <w:t>未有核付紀錄或核付紀錄未滿三個月者，暫付百分之五十。</w:t>
            </w:r>
          </w:p>
          <w:p>
            <w:pPr>
              <w:pStyle w:val="TableParagraph"/>
              <w:tabs>
                <w:tab w:pos="5076" w:val="left" w:leader="none"/>
              </w:tabs>
              <w:spacing w:before="36"/>
              <w:ind w:left="907"/>
              <w:rPr>
                <w:sz w:val="28"/>
              </w:rPr>
            </w:pPr>
            <w:r>
              <w:rPr>
                <w:position w:val="14"/>
                <w:sz w:val="14"/>
              </w:rPr>
              <w:t>2</w:t>
            </w:r>
            <w:r>
              <w:rPr>
                <w:sz w:val="28"/>
              </w:rPr>
              <w:t>甲方應自受理乙方申報之日</w:t>
            </w:r>
            <w:r>
              <w:rPr>
                <w:spacing w:val="-10"/>
                <w:sz w:val="28"/>
              </w:rPr>
              <w:t>起</w:t>
            </w:r>
            <w:r>
              <w:rPr>
                <w:rFonts w:ascii="Times New Roman" w:eastAsia="Times New Roman"/>
                <w:sz w:val="28"/>
                <w:u w:val="single"/>
              </w:rPr>
              <w:tab/>
            </w:r>
            <w:r>
              <w:rPr>
                <w:sz w:val="28"/>
              </w:rPr>
              <w:t>日內，完成服務項目與金額核定，並支</w:t>
            </w:r>
            <w:r>
              <w:rPr>
                <w:spacing w:val="-10"/>
                <w:sz w:val="28"/>
              </w:rPr>
              <w:t>付</w:t>
            </w:r>
          </w:p>
          <w:p>
            <w:pPr>
              <w:pStyle w:val="TableParagraph"/>
              <w:spacing w:before="42"/>
              <w:ind w:left="347"/>
              <w:rPr>
                <w:sz w:val="28"/>
              </w:rPr>
            </w:pPr>
            <w:r>
              <w:rPr>
                <w:spacing w:val="-4"/>
                <w:sz w:val="28"/>
              </w:rPr>
              <w:t>全數服務費用。</w:t>
            </w:r>
          </w:p>
          <w:p>
            <w:pPr>
              <w:pStyle w:val="TableParagraph"/>
              <w:spacing w:before="42"/>
              <w:ind w:left="907"/>
              <w:rPr>
                <w:sz w:val="28"/>
              </w:rPr>
            </w:pPr>
            <w:r>
              <w:rPr>
                <w:position w:val="14"/>
                <w:sz w:val="14"/>
              </w:rPr>
              <w:t>3</w:t>
            </w:r>
            <w:r>
              <w:rPr>
                <w:spacing w:val="-1"/>
                <w:sz w:val="28"/>
              </w:rPr>
              <w:t>服務項目為居家失能個案家庭醫師照護服務者，其費用之申報及撥付，依</w:t>
            </w:r>
          </w:p>
          <w:p>
            <w:pPr>
              <w:pStyle w:val="TableParagraph"/>
              <w:spacing w:line="339" w:lineRule="exact" w:before="40"/>
              <w:ind w:left="347"/>
              <w:rPr>
                <w:sz w:val="28"/>
              </w:rPr>
            </w:pPr>
            <w:r>
              <w:rPr>
                <w:spacing w:val="-3"/>
                <w:sz w:val="28"/>
              </w:rPr>
              <w:t>居家失能個案家庭醫師照護方案計畫書辦理，不適用前二項規定。</w:t>
            </w:r>
          </w:p>
        </w:tc>
      </w:tr>
      <w:tr>
        <w:trPr>
          <w:trHeight w:val="3599"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第九</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不予暫付服務費用之事</w:t>
            </w:r>
            <w:r>
              <w:rPr>
                <w:rFonts w:ascii="Microsoft JhengHei" w:eastAsia="Microsoft JhengHei"/>
                <w:b/>
                <w:spacing w:val="-10"/>
                <w:sz w:val="28"/>
              </w:rPr>
              <w:t>由</w:t>
            </w:r>
          </w:p>
          <w:p>
            <w:pPr>
              <w:pStyle w:val="TableParagraph"/>
              <w:spacing w:line="348" w:lineRule="exact"/>
              <w:ind w:left="907"/>
              <w:rPr>
                <w:sz w:val="28"/>
              </w:rPr>
            </w:pPr>
            <w:r>
              <w:rPr>
                <w:spacing w:val="-3"/>
                <w:sz w:val="28"/>
              </w:rPr>
              <w:t>乙方有下列情事之一者，甲方不予暫付：</w:t>
            </w:r>
          </w:p>
          <w:p>
            <w:pPr>
              <w:pStyle w:val="TableParagraph"/>
              <w:numPr>
                <w:ilvl w:val="0"/>
                <w:numId w:val="9"/>
              </w:numPr>
              <w:tabs>
                <w:tab w:pos="1275" w:val="left" w:leader="none"/>
                <w:tab w:pos="1277" w:val="left" w:leader="none"/>
              </w:tabs>
              <w:spacing w:line="268" w:lineRule="auto" w:before="39" w:after="0"/>
              <w:ind w:left="1277" w:right="162" w:hanging="567"/>
              <w:jc w:val="left"/>
              <w:rPr>
                <w:sz w:val="28"/>
              </w:rPr>
            </w:pPr>
            <w:r>
              <w:rPr>
                <w:spacing w:val="10"/>
                <w:sz w:val="28"/>
              </w:rPr>
              <w:t>核付紀錄滿三個月以上，且最近三個月經甲方核減申領金額達五次以</w:t>
            </w:r>
            <w:r>
              <w:rPr>
                <w:spacing w:val="-6"/>
                <w:sz w:val="28"/>
              </w:rPr>
              <w:t>上。</w:t>
            </w:r>
          </w:p>
          <w:p>
            <w:pPr>
              <w:pStyle w:val="TableParagraph"/>
              <w:numPr>
                <w:ilvl w:val="0"/>
                <w:numId w:val="9"/>
              </w:numPr>
              <w:tabs>
                <w:tab w:pos="1275" w:val="left" w:leader="none"/>
              </w:tabs>
              <w:spacing w:line="357" w:lineRule="exact" w:before="0" w:after="0"/>
              <w:ind w:left="1275" w:right="0" w:hanging="565"/>
              <w:jc w:val="left"/>
              <w:rPr>
                <w:sz w:val="28"/>
              </w:rPr>
            </w:pPr>
            <w:r>
              <w:rPr>
                <w:spacing w:val="-3"/>
                <w:sz w:val="28"/>
              </w:rPr>
              <w:t>經縣市照管中心暫停照會或轉介服務對象。</w:t>
            </w:r>
          </w:p>
          <w:p>
            <w:pPr>
              <w:pStyle w:val="TableParagraph"/>
              <w:numPr>
                <w:ilvl w:val="0"/>
                <w:numId w:val="9"/>
              </w:numPr>
              <w:tabs>
                <w:tab w:pos="1275" w:val="left" w:leader="none"/>
              </w:tabs>
              <w:spacing w:line="240" w:lineRule="auto" w:before="40" w:after="0"/>
              <w:ind w:left="1275" w:right="0" w:hanging="565"/>
              <w:jc w:val="left"/>
              <w:rPr>
                <w:sz w:val="28"/>
              </w:rPr>
            </w:pPr>
            <w:r>
              <w:rPr>
                <w:spacing w:val="-3"/>
                <w:sz w:val="28"/>
              </w:rPr>
              <w:t>受停業處分，期間未屆滿。</w:t>
            </w:r>
          </w:p>
          <w:p>
            <w:pPr>
              <w:pStyle w:val="TableParagraph"/>
              <w:numPr>
                <w:ilvl w:val="0"/>
                <w:numId w:val="9"/>
              </w:numPr>
              <w:tabs>
                <w:tab w:pos="1275" w:val="left" w:leader="none"/>
              </w:tabs>
              <w:spacing w:line="240" w:lineRule="auto" w:before="42" w:after="0"/>
              <w:ind w:left="1275" w:right="0" w:hanging="565"/>
              <w:jc w:val="left"/>
              <w:rPr>
                <w:sz w:val="28"/>
              </w:rPr>
            </w:pPr>
            <w:r>
              <w:rPr>
                <w:spacing w:val="-4"/>
                <w:sz w:val="28"/>
              </w:rPr>
              <w:t>歇業。</w:t>
            </w:r>
          </w:p>
          <w:p>
            <w:pPr>
              <w:pStyle w:val="TableParagraph"/>
              <w:numPr>
                <w:ilvl w:val="0"/>
                <w:numId w:val="9"/>
              </w:numPr>
              <w:tabs>
                <w:tab w:pos="1275" w:val="left" w:leader="none"/>
              </w:tabs>
              <w:spacing w:line="240" w:lineRule="auto" w:before="42" w:after="0"/>
              <w:ind w:left="1275" w:right="0" w:hanging="565"/>
              <w:jc w:val="left"/>
              <w:rPr>
                <w:sz w:val="28"/>
              </w:rPr>
            </w:pPr>
            <w:r>
              <w:rPr>
                <w:spacing w:val="-3"/>
                <w:sz w:val="28"/>
              </w:rPr>
              <w:t>經主管機關撤銷或廢止設立許可。</w:t>
            </w:r>
          </w:p>
          <w:p>
            <w:pPr>
              <w:pStyle w:val="TableParagraph"/>
              <w:numPr>
                <w:ilvl w:val="0"/>
                <w:numId w:val="9"/>
              </w:numPr>
              <w:tabs>
                <w:tab w:pos="1275" w:val="left" w:leader="none"/>
              </w:tabs>
              <w:spacing w:line="339" w:lineRule="exact" w:before="40" w:after="0"/>
              <w:ind w:left="1275" w:right="0" w:hanging="565"/>
              <w:jc w:val="left"/>
              <w:rPr>
                <w:sz w:val="28"/>
              </w:rPr>
            </w:pPr>
            <w:r>
              <w:rPr>
                <w:spacing w:val="-3"/>
                <w:sz w:val="28"/>
              </w:rPr>
              <w:t>未依第六條所定期限申報服務費用。</w:t>
            </w:r>
          </w:p>
        </w:tc>
      </w:tr>
      <w:tr>
        <w:trPr>
          <w:trHeight w:val="3602" w:hRule="atLeast"/>
        </w:trPr>
        <w:tc>
          <w:tcPr>
            <w:tcW w:w="10267" w:type="dxa"/>
          </w:tcPr>
          <w:p>
            <w:pPr>
              <w:pStyle w:val="TableParagraph"/>
              <w:tabs>
                <w:tab w:pos="1228" w:val="left" w:leader="none"/>
              </w:tabs>
              <w:spacing w:line="453" w:lineRule="exact"/>
              <w:ind w:left="107"/>
              <w:rPr>
                <w:rFonts w:ascii="Microsoft JhengHei" w:eastAsia="Microsoft JhengHei"/>
                <w:b/>
                <w:sz w:val="28"/>
              </w:rPr>
            </w:pPr>
            <w:r>
              <w:rPr>
                <w:rFonts w:ascii="Microsoft JhengHei" w:eastAsia="Microsoft JhengHei"/>
                <w:b/>
                <w:sz w:val="28"/>
              </w:rPr>
              <w:t>第十</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暫付服務費用之支</w:t>
            </w:r>
            <w:r>
              <w:rPr>
                <w:rFonts w:ascii="Microsoft JhengHei" w:eastAsia="Microsoft JhengHei"/>
                <w:b/>
                <w:spacing w:val="-10"/>
                <w:sz w:val="28"/>
              </w:rPr>
              <w:t>付</w:t>
            </w:r>
          </w:p>
          <w:p>
            <w:pPr>
              <w:pStyle w:val="TableParagraph"/>
              <w:spacing w:line="348" w:lineRule="exact"/>
              <w:ind w:left="907"/>
              <w:rPr>
                <w:sz w:val="28"/>
              </w:rPr>
            </w:pPr>
            <w:r>
              <w:rPr>
                <w:position w:val="14"/>
                <w:sz w:val="14"/>
              </w:rPr>
              <w:t>1</w:t>
            </w:r>
            <w:r>
              <w:rPr>
                <w:spacing w:val="-1"/>
                <w:sz w:val="28"/>
              </w:rPr>
              <w:t>甲方應於受理乙方備齊相關文件、資料之次日起十日內完成審查，並於完</w:t>
            </w:r>
          </w:p>
          <w:p>
            <w:pPr>
              <w:pStyle w:val="TableParagraph"/>
              <w:spacing w:line="266" w:lineRule="auto" w:before="42"/>
              <w:ind w:left="347" w:right="97"/>
              <w:rPr>
                <w:sz w:val="28"/>
              </w:rPr>
            </w:pPr>
            <w:r>
              <w:rPr>
                <w:spacing w:val="-2"/>
                <w:sz w:val="28"/>
              </w:rPr>
              <w:t>成審查後三十日內，依審查結果支付服務費用，並支付扣除暫付金額之賸餘服務</w:t>
            </w:r>
            <w:r>
              <w:rPr>
                <w:spacing w:val="-4"/>
                <w:sz w:val="28"/>
              </w:rPr>
              <w:t>費用。</w:t>
            </w:r>
          </w:p>
          <w:p>
            <w:pPr>
              <w:pStyle w:val="TableParagraph"/>
              <w:spacing w:before="3"/>
              <w:ind w:left="907"/>
              <w:rPr>
                <w:sz w:val="28"/>
              </w:rPr>
            </w:pPr>
            <w:r>
              <w:rPr>
                <w:position w:val="14"/>
                <w:sz w:val="14"/>
              </w:rPr>
              <w:t>2</w:t>
            </w:r>
            <w:r>
              <w:rPr>
                <w:spacing w:val="-1"/>
                <w:sz w:val="28"/>
              </w:rPr>
              <w:t>核定金額低於該次暫付金額時，甲方應自下次申報之暫付金額扣抵；無暫</w:t>
            </w:r>
          </w:p>
          <w:p>
            <w:pPr>
              <w:pStyle w:val="TableParagraph"/>
              <w:spacing w:before="42"/>
              <w:ind w:left="347"/>
              <w:rPr>
                <w:sz w:val="28"/>
              </w:rPr>
            </w:pPr>
            <w:r>
              <w:rPr>
                <w:spacing w:val="-3"/>
                <w:sz w:val="28"/>
              </w:rPr>
              <w:t>付金額可扣抵者，應予追償。</w:t>
            </w:r>
          </w:p>
          <w:p>
            <w:pPr>
              <w:pStyle w:val="TableParagraph"/>
              <w:spacing w:before="39"/>
              <w:ind w:left="907"/>
              <w:rPr>
                <w:sz w:val="28"/>
              </w:rPr>
            </w:pPr>
            <w:r>
              <w:rPr>
                <w:position w:val="14"/>
                <w:sz w:val="14"/>
              </w:rPr>
              <w:t>3</w:t>
            </w:r>
            <w:r>
              <w:rPr>
                <w:spacing w:val="-1"/>
                <w:sz w:val="28"/>
              </w:rPr>
              <w:t>服務項目為居家失能個案家庭醫師照護服務者，甲方完成審查之服務費用</w:t>
            </w:r>
          </w:p>
          <w:p>
            <w:pPr>
              <w:pStyle w:val="TableParagraph"/>
              <w:spacing w:line="400" w:lineRule="atLeast"/>
              <w:ind w:left="347" w:right="94"/>
              <w:rPr>
                <w:sz w:val="28"/>
              </w:rPr>
            </w:pPr>
            <w:r>
              <w:rPr>
                <w:spacing w:val="-2"/>
                <w:sz w:val="28"/>
              </w:rPr>
              <w:t>申報資料，以資訊系統送衛生福利部(長期照顧司)彙整，俟衛生福利部(長期照顧司)將撥付清冊送至中央健康保險署後，由中央健康保險署代為撥付予乙方。</w:t>
            </w:r>
          </w:p>
        </w:tc>
      </w:tr>
    </w:tbl>
    <w:p>
      <w:pPr>
        <w:rPr>
          <w:sz w:val="2"/>
          <w:szCs w:val="2"/>
        </w:rPr>
      </w:pPr>
      <w:r>
        <w:rPr>
          <w:sz w:val="2"/>
          <w:szCs w:val="2"/>
        </w:rPr>
        <mc:AlternateContent>
          <mc:Choice Requires="wps">
            <w:drawing>
              <wp:anchor distT="0" distB="0" distL="0" distR="0" allowOverlap="1" layoutInCell="1" locked="0" behindDoc="1" simplePos="0" relativeHeight="487166464">
                <wp:simplePos x="0" y="0"/>
                <wp:positionH relativeFrom="page">
                  <wp:posOffset>5426709</wp:posOffset>
                </wp:positionH>
                <wp:positionV relativeFrom="page">
                  <wp:posOffset>8634729</wp:posOffset>
                </wp:positionV>
                <wp:extent cx="2125345" cy="205422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2125345" cy="2054225"/>
                          <a:chExt cx="2125345" cy="2054225"/>
                        </a:xfrm>
                      </wpg:grpSpPr>
                      <wps:wsp>
                        <wps:cNvPr id="18" name="Graphic 18"/>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19" name="Textbox 19"/>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6</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50016" id="docshapegroup17" coordorigin="8546,13598" coordsize="3347,3235">
                <v:shape style="position:absolute;left:8546;top:13598;width:3347;height:3235" id="docshape18" coordorigin="8546,13598" coordsize="3347,3235" path="m11893,13598l8546,16833,11893,16833,11893,13598xe" filled="true" fillcolor="#d2eaf0" stroked="false">
                  <v:path arrowok="t"/>
                  <v:fill type="solid"/>
                </v:shape>
                <v:shape style="position:absolute;left:8546;top:13598;width:3347;height:3235" type="#_x0000_t202" id="docshape19"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6</w:t>
                        </w:r>
                      </w:p>
                    </w:txbxContent>
                  </v:textbox>
                  <w10:wrap type="none"/>
                </v:shape>
                <w10:wrap type="none"/>
              </v:group>
            </w:pict>
          </mc:Fallback>
        </mc:AlternateContent>
      </w:r>
    </w:p>
    <w:p>
      <w:pPr>
        <w:spacing w:after="0"/>
        <w:rPr>
          <w:sz w:val="2"/>
          <w:szCs w:val="2"/>
        </w:rPr>
        <w:sectPr>
          <w:type w:val="continuous"/>
          <w:pgSz w:w="11910" w:h="16840"/>
          <w:pgMar w:header="882" w:footer="0" w:top="1120" w:bottom="1458"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7601" w:hRule="atLeast"/>
        </w:trPr>
        <w:tc>
          <w:tcPr>
            <w:tcW w:w="10267" w:type="dxa"/>
          </w:tcPr>
          <w:p>
            <w:pPr>
              <w:pStyle w:val="TableParagraph"/>
              <w:tabs>
                <w:tab w:pos="1509" w:val="left" w:leader="none"/>
              </w:tabs>
              <w:spacing w:line="453" w:lineRule="exact"/>
              <w:ind w:left="107"/>
              <w:rPr>
                <w:rFonts w:ascii="Microsoft JhengHei" w:eastAsia="Microsoft JhengHei"/>
                <w:b/>
                <w:sz w:val="28"/>
              </w:rPr>
            </w:pPr>
            <w:r>
              <w:rPr>
                <w:rFonts w:ascii="Microsoft JhengHei" w:eastAsia="Microsoft JhengHei"/>
                <w:b/>
                <w:sz w:val="28"/>
              </w:rPr>
              <w:t>第十一</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不予支付服務費用之事</w:t>
            </w:r>
            <w:r>
              <w:rPr>
                <w:rFonts w:ascii="Microsoft JhengHei" w:eastAsia="Microsoft JhengHei"/>
                <w:b/>
                <w:spacing w:val="-10"/>
                <w:sz w:val="28"/>
              </w:rPr>
              <w:t>由</w:t>
            </w:r>
          </w:p>
          <w:p>
            <w:pPr>
              <w:pStyle w:val="TableParagraph"/>
              <w:spacing w:line="348" w:lineRule="exact"/>
              <w:rPr>
                <w:sz w:val="28"/>
              </w:rPr>
            </w:pPr>
            <w:r>
              <w:rPr>
                <w:position w:val="14"/>
                <w:sz w:val="14"/>
              </w:rPr>
              <w:t>1</w:t>
            </w:r>
            <w:r>
              <w:rPr>
                <w:spacing w:val="-1"/>
                <w:sz w:val="28"/>
              </w:rPr>
              <w:t>乙方申報之服務費用，經甲方審查下列情形之一者，應不予支付該部分之</w:t>
            </w:r>
          </w:p>
          <w:p>
            <w:pPr>
              <w:pStyle w:val="TableParagraph"/>
              <w:spacing w:before="39"/>
              <w:ind w:left="347"/>
              <w:rPr>
                <w:sz w:val="28"/>
              </w:rPr>
            </w:pPr>
            <w:r>
              <w:rPr>
                <w:spacing w:val="-3"/>
                <w:sz w:val="28"/>
              </w:rPr>
              <w:t>費用，並註明不予支付之內容及理由：</w:t>
            </w:r>
          </w:p>
          <w:p>
            <w:pPr>
              <w:pStyle w:val="TableParagraph"/>
              <w:numPr>
                <w:ilvl w:val="0"/>
                <w:numId w:val="10"/>
              </w:numPr>
              <w:tabs>
                <w:tab w:pos="1275" w:val="left" w:leader="none"/>
                <w:tab w:pos="1277" w:val="left" w:leader="none"/>
              </w:tabs>
              <w:spacing w:line="268" w:lineRule="auto" w:before="42" w:after="0"/>
              <w:ind w:left="1277" w:right="162" w:hanging="567"/>
              <w:jc w:val="left"/>
              <w:rPr>
                <w:sz w:val="28"/>
              </w:rPr>
            </w:pPr>
            <w:r>
              <w:rPr>
                <w:spacing w:val="10"/>
                <w:sz w:val="28"/>
              </w:rPr>
              <w:t>因可歸責於特約服務單位之事由，未具附表一所列資格而提供長照服</w:t>
            </w:r>
            <w:r>
              <w:rPr>
                <w:spacing w:val="-6"/>
                <w:sz w:val="28"/>
              </w:rPr>
              <w:t>務。</w:t>
            </w:r>
          </w:p>
          <w:p>
            <w:pPr>
              <w:pStyle w:val="TableParagraph"/>
              <w:numPr>
                <w:ilvl w:val="0"/>
                <w:numId w:val="10"/>
              </w:numPr>
              <w:tabs>
                <w:tab w:pos="1275" w:val="left" w:leader="none"/>
              </w:tabs>
              <w:spacing w:line="354" w:lineRule="exact" w:before="0" w:after="0"/>
              <w:ind w:left="1275" w:right="0" w:hanging="565"/>
              <w:jc w:val="left"/>
              <w:rPr>
                <w:sz w:val="28"/>
              </w:rPr>
            </w:pPr>
            <w:r>
              <w:rPr>
                <w:spacing w:val="-3"/>
                <w:sz w:val="28"/>
              </w:rPr>
              <w:t>違反依特管辦法第四條第二項核定之照顧計畫申請支付服務費用。</w:t>
            </w:r>
          </w:p>
          <w:p>
            <w:pPr>
              <w:pStyle w:val="TableParagraph"/>
              <w:numPr>
                <w:ilvl w:val="0"/>
                <w:numId w:val="10"/>
              </w:numPr>
              <w:tabs>
                <w:tab w:pos="1275" w:val="left" w:leader="none"/>
              </w:tabs>
              <w:spacing w:line="240" w:lineRule="auto" w:before="42" w:after="0"/>
              <w:ind w:left="1275" w:right="0" w:hanging="565"/>
              <w:jc w:val="left"/>
              <w:rPr>
                <w:sz w:val="28"/>
              </w:rPr>
            </w:pPr>
            <w:r>
              <w:rPr>
                <w:spacing w:val="-3"/>
                <w:sz w:val="28"/>
              </w:rPr>
              <w:t>提供未經簽訂特約或有效期間外之服務項目或服務區域。</w:t>
            </w:r>
          </w:p>
          <w:p>
            <w:pPr>
              <w:pStyle w:val="TableParagraph"/>
              <w:numPr>
                <w:ilvl w:val="0"/>
                <w:numId w:val="10"/>
              </w:numPr>
              <w:tabs>
                <w:tab w:pos="1275" w:val="left" w:leader="none"/>
              </w:tabs>
              <w:spacing w:line="240" w:lineRule="auto" w:before="42" w:after="0"/>
              <w:ind w:left="1275" w:right="0" w:hanging="565"/>
              <w:jc w:val="left"/>
              <w:rPr>
                <w:sz w:val="28"/>
              </w:rPr>
            </w:pPr>
            <w:r>
              <w:rPr>
                <w:spacing w:val="-3"/>
                <w:sz w:val="28"/>
              </w:rPr>
              <w:t>於中央主管機關指定之資訊系統登載服務資訊虛偽不實。</w:t>
            </w:r>
          </w:p>
          <w:p>
            <w:pPr>
              <w:pStyle w:val="TableParagraph"/>
              <w:numPr>
                <w:ilvl w:val="0"/>
                <w:numId w:val="10"/>
              </w:numPr>
              <w:tabs>
                <w:tab w:pos="1275" w:val="left" w:leader="none"/>
                <w:tab w:pos="1277" w:val="left" w:leader="none"/>
              </w:tabs>
              <w:spacing w:line="268" w:lineRule="auto" w:before="41" w:after="0"/>
              <w:ind w:left="1277" w:right="160" w:hanging="567"/>
              <w:jc w:val="left"/>
              <w:rPr>
                <w:sz w:val="28"/>
              </w:rPr>
            </w:pPr>
            <w:r>
              <w:rPr>
                <w:spacing w:val="-2"/>
                <w:sz w:val="28"/>
              </w:rPr>
              <w:t>違反特管辦法第二十三條規定，未協調由個案之配偶、二親等內之直系血親或二親等內之直系姻親以外之服務人員提供服務。</w:t>
            </w:r>
          </w:p>
          <w:p>
            <w:pPr>
              <w:pStyle w:val="TableParagraph"/>
              <w:numPr>
                <w:ilvl w:val="0"/>
                <w:numId w:val="10"/>
              </w:numPr>
              <w:tabs>
                <w:tab w:pos="1275" w:val="left" w:leader="none"/>
              </w:tabs>
              <w:spacing w:line="357" w:lineRule="exact" w:before="0" w:after="0"/>
              <w:ind w:left="1275" w:right="0" w:hanging="565"/>
              <w:jc w:val="left"/>
              <w:rPr>
                <w:sz w:val="28"/>
              </w:rPr>
            </w:pPr>
            <w:r>
              <w:rPr>
                <w:spacing w:val="-3"/>
                <w:sz w:val="28"/>
              </w:rPr>
              <w:t>提供之長照服務給付項目，違反給付辦法附表四所定組合內容及說明。</w:t>
            </w:r>
          </w:p>
          <w:p>
            <w:pPr>
              <w:pStyle w:val="TableParagraph"/>
              <w:numPr>
                <w:ilvl w:val="0"/>
                <w:numId w:val="10"/>
              </w:numPr>
              <w:tabs>
                <w:tab w:pos="1275" w:val="left" w:leader="none"/>
                <w:tab w:pos="1277" w:val="left" w:leader="none"/>
              </w:tabs>
              <w:spacing w:line="268" w:lineRule="auto" w:before="39" w:after="0"/>
              <w:ind w:left="1277" w:right="160" w:hanging="567"/>
              <w:jc w:val="left"/>
              <w:rPr>
                <w:sz w:val="28"/>
              </w:rPr>
            </w:pPr>
            <w:r>
              <w:rPr>
                <w:spacing w:val="-2"/>
                <w:sz w:val="28"/>
              </w:rPr>
              <w:t>提供服務之人員，違反給付辦法第十八條、第十九條第二項或第二十條第三項規定。</w:t>
            </w:r>
          </w:p>
          <w:p>
            <w:pPr>
              <w:pStyle w:val="TableParagraph"/>
              <w:numPr>
                <w:ilvl w:val="0"/>
                <w:numId w:val="10"/>
              </w:numPr>
              <w:tabs>
                <w:tab w:pos="1275" w:val="left" w:leader="none"/>
                <w:tab w:pos="1277" w:val="left" w:leader="none"/>
              </w:tabs>
              <w:spacing w:line="266" w:lineRule="auto" w:before="0" w:after="0"/>
              <w:ind w:left="1277" w:right="150" w:hanging="567"/>
              <w:jc w:val="left"/>
              <w:rPr>
                <w:sz w:val="28"/>
              </w:rPr>
            </w:pPr>
            <w:r>
              <w:rPr>
                <w:spacing w:val="-2"/>
                <w:sz w:val="28"/>
              </w:rPr>
              <w:t>未依長期照顧服務人員訓練認證繼續教育及登錄辦法(以下簡稱長照人員訓練辦法)之規定接受訓練，即提供服務。</w:t>
            </w:r>
          </w:p>
          <w:p>
            <w:pPr>
              <w:pStyle w:val="TableParagraph"/>
              <w:numPr>
                <w:ilvl w:val="0"/>
                <w:numId w:val="10"/>
              </w:numPr>
              <w:tabs>
                <w:tab w:pos="1275" w:val="left" w:leader="none"/>
              </w:tabs>
              <w:spacing w:line="240" w:lineRule="auto" w:before="1" w:after="0"/>
              <w:ind w:left="1275" w:right="0" w:hanging="565"/>
              <w:jc w:val="left"/>
              <w:rPr>
                <w:sz w:val="28"/>
              </w:rPr>
            </w:pPr>
            <w:r>
              <w:rPr>
                <w:spacing w:val="-3"/>
                <w:sz w:val="28"/>
              </w:rPr>
              <w:t>虛報、浮報服務費用。</w:t>
            </w:r>
          </w:p>
          <w:p>
            <w:pPr>
              <w:pStyle w:val="TableParagraph"/>
              <w:numPr>
                <w:ilvl w:val="0"/>
                <w:numId w:val="10"/>
              </w:numPr>
              <w:tabs>
                <w:tab w:pos="1275" w:val="left" w:leader="none"/>
              </w:tabs>
              <w:spacing w:line="333" w:lineRule="exact" w:before="42" w:after="0"/>
              <w:ind w:left="1275" w:right="0" w:hanging="565"/>
              <w:jc w:val="left"/>
              <w:rPr>
                <w:sz w:val="28"/>
              </w:rPr>
            </w:pPr>
            <w:r>
              <w:rPr>
                <w:spacing w:val="-3"/>
                <w:sz w:val="28"/>
              </w:rPr>
              <w:t>其他經中央主管機關公告不予支付之項目。</w:t>
            </w:r>
          </w:p>
          <w:p>
            <w:pPr>
              <w:pStyle w:val="TableParagraph"/>
              <w:spacing w:line="478" w:lineRule="exact"/>
              <w:ind w:left="907"/>
              <w:rPr>
                <w:sz w:val="28"/>
              </w:rPr>
            </w:pPr>
            <w:r>
              <w:rPr>
                <w:position w:val="14"/>
                <w:sz w:val="14"/>
              </w:rPr>
              <w:t>2</w:t>
            </w:r>
            <w:r>
              <w:rPr>
                <w:sz w:val="28"/>
              </w:rPr>
              <w:t>服務項目為居家失能個案家庭醫師照護服務開立醫師意見書者</w:t>
            </w:r>
            <w:r>
              <w:rPr>
                <w:rFonts w:ascii="Microsoft JhengHei" w:eastAsia="Microsoft JhengHei"/>
                <w:b/>
                <w:sz w:val="28"/>
              </w:rPr>
              <w:t>，</w:t>
            </w:r>
            <w:r>
              <w:rPr>
                <w:spacing w:val="-3"/>
                <w:sz w:val="28"/>
              </w:rPr>
              <w:t>不適用前</w:t>
            </w:r>
          </w:p>
          <w:p>
            <w:pPr>
              <w:pStyle w:val="TableParagraph"/>
              <w:spacing w:line="328" w:lineRule="exact"/>
              <w:ind w:left="347"/>
              <w:rPr>
                <w:sz w:val="28"/>
              </w:rPr>
            </w:pPr>
            <w:r>
              <w:rPr>
                <w:spacing w:val="-3"/>
                <w:sz w:val="28"/>
              </w:rPr>
              <w:t>項第五款及第八款規定。</w:t>
            </w:r>
          </w:p>
        </w:tc>
      </w:tr>
      <w:tr>
        <w:trPr>
          <w:trHeight w:val="3201" w:hRule="atLeast"/>
        </w:trPr>
        <w:tc>
          <w:tcPr>
            <w:tcW w:w="10267" w:type="dxa"/>
          </w:tcPr>
          <w:p>
            <w:pPr>
              <w:pStyle w:val="TableParagraph"/>
              <w:tabs>
                <w:tab w:pos="1509" w:val="left" w:leader="none"/>
              </w:tabs>
              <w:spacing w:line="453" w:lineRule="exact"/>
              <w:ind w:left="107"/>
              <w:rPr>
                <w:rFonts w:ascii="Microsoft JhengHei" w:eastAsia="Microsoft JhengHei"/>
                <w:b/>
                <w:sz w:val="28"/>
              </w:rPr>
            </w:pPr>
            <w:r>
              <w:rPr>
                <w:rFonts w:ascii="Microsoft JhengHei" w:eastAsia="Microsoft JhengHei"/>
                <w:b/>
                <w:sz w:val="28"/>
              </w:rPr>
              <w:t>第十二</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服務費用追償或扣抵、加計違約</w:t>
            </w:r>
            <w:r>
              <w:rPr>
                <w:rFonts w:ascii="Microsoft JhengHei" w:eastAsia="Microsoft JhengHei"/>
                <w:b/>
                <w:spacing w:val="-10"/>
                <w:sz w:val="28"/>
              </w:rPr>
              <w:t>金</w:t>
            </w:r>
          </w:p>
          <w:p>
            <w:pPr>
              <w:pStyle w:val="TableParagraph"/>
              <w:spacing w:line="348" w:lineRule="exact"/>
              <w:rPr>
                <w:sz w:val="28"/>
              </w:rPr>
            </w:pPr>
            <w:r>
              <w:rPr>
                <w:position w:val="14"/>
                <w:sz w:val="14"/>
              </w:rPr>
              <w:t>1</w:t>
            </w:r>
            <w:r>
              <w:rPr>
                <w:spacing w:val="-1"/>
                <w:sz w:val="28"/>
              </w:rPr>
              <w:t>甲方為特管辦法第三十五條之查核時，發現乙方有前條第一項各款所定不</w:t>
            </w:r>
          </w:p>
          <w:p>
            <w:pPr>
              <w:pStyle w:val="TableParagraph"/>
              <w:spacing w:line="268" w:lineRule="auto" w:before="39"/>
              <w:ind w:left="347" w:right="97"/>
              <w:jc w:val="both"/>
              <w:rPr>
                <w:sz w:val="28"/>
              </w:rPr>
            </w:pPr>
            <w:r>
              <w:rPr>
                <w:spacing w:val="-2"/>
                <w:sz w:val="28"/>
              </w:rPr>
              <w:t>予支付該部分之費用情形者，除應予追償，或由後續核定之服務費用中扣抵外，並得審酌其違規期間及情節，加計五倍至十倍違約金；於特約期間重覆有前條第一項同款情形者，加計十倍至二十倍違約金。</w:t>
            </w:r>
          </w:p>
          <w:p>
            <w:pPr>
              <w:pStyle w:val="TableParagraph"/>
              <w:spacing w:line="353" w:lineRule="exact"/>
              <w:rPr>
                <w:sz w:val="28"/>
              </w:rPr>
            </w:pPr>
            <w:r>
              <w:rPr>
                <w:position w:val="14"/>
                <w:sz w:val="14"/>
              </w:rPr>
              <w:t>2</w:t>
            </w:r>
            <w:r>
              <w:rPr>
                <w:spacing w:val="-1"/>
                <w:sz w:val="28"/>
              </w:rPr>
              <w:t>前項追償或扣抵，甲方應依行政程序法規定為之，且以一次繳納為原則。</w:t>
            </w:r>
          </w:p>
          <w:p>
            <w:pPr>
              <w:pStyle w:val="TableParagraph"/>
              <w:spacing w:line="402" w:lineRule="exact"/>
              <w:ind w:left="347" w:right="99"/>
              <w:rPr>
                <w:sz w:val="28"/>
              </w:rPr>
            </w:pPr>
            <w:r>
              <w:rPr>
                <w:spacing w:val="-2"/>
                <w:sz w:val="28"/>
              </w:rPr>
              <w:t>但乙方無力繳納前項追償費用或違約金時，得向甲方申請於一定期限內，按核定之服務費用中分期扣抵。</w:t>
            </w:r>
          </w:p>
        </w:tc>
      </w:tr>
      <w:tr>
        <w:trPr>
          <w:trHeight w:val="2799" w:hRule="atLeast"/>
        </w:trPr>
        <w:tc>
          <w:tcPr>
            <w:tcW w:w="10267" w:type="dxa"/>
          </w:tcPr>
          <w:p>
            <w:pPr>
              <w:pStyle w:val="TableParagraph"/>
              <w:tabs>
                <w:tab w:pos="1509" w:val="left" w:leader="none"/>
              </w:tabs>
              <w:spacing w:line="450" w:lineRule="exact"/>
              <w:ind w:left="107"/>
              <w:rPr>
                <w:rFonts w:ascii="Microsoft JhengHei" w:eastAsia="Microsoft JhengHei"/>
                <w:b/>
                <w:sz w:val="28"/>
              </w:rPr>
            </w:pPr>
            <w:r>
              <w:rPr>
                <w:rFonts w:ascii="Microsoft JhengHei" w:eastAsia="Microsoft JhengHei"/>
                <w:b/>
                <w:sz w:val="28"/>
              </w:rPr>
              <w:t>第十三</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服務費用專案查</w:t>
            </w:r>
            <w:r>
              <w:rPr>
                <w:rFonts w:ascii="Microsoft JhengHei" w:eastAsia="Microsoft JhengHei"/>
                <w:b/>
                <w:spacing w:val="-10"/>
                <w:sz w:val="28"/>
              </w:rPr>
              <w:t>核</w:t>
            </w:r>
          </w:p>
          <w:p>
            <w:pPr>
              <w:pStyle w:val="TableParagraph"/>
              <w:spacing w:line="348" w:lineRule="exact"/>
              <w:rPr>
                <w:sz w:val="28"/>
              </w:rPr>
            </w:pPr>
            <w:r>
              <w:rPr>
                <w:position w:val="14"/>
                <w:sz w:val="14"/>
              </w:rPr>
              <w:t>1</w:t>
            </w:r>
            <w:r>
              <w:rPr>
                <w:spacing w:val="-1"/>
                <w:sz w:val="28"/>
              </w:rPr>
              <w:t>甲方對於已完成支付案件，得辦理專案查核，經查有第十一條所定不予支</w:t>
            </w:r>
          </w:p>
          <w:p>
            <w:pPr>
              <w:pStyle w:val="TableParagraph"/>
              <w:spacing w:before="42"/>
              <w:ind w:left="347"/>
              <w:rPr>
                <w:sz w:val="28"/>
              </w:rPr>
            </w:pPr>
            <w:r>
              <w:rPr>
                <w:spacing w:val="-3"/>
                <w:sz w:val="28"/>
              </w:rPr>
              <w:t>付情形者，應予扣抵或追償，其時效依行政程序法第一百三十一條規定辦理。</w:t>
            </w:r>
          </w:p>
          <w:p>
            <w:pPr>
              <w:pStyle w:val="TableParagraph"/>
              <w:spacing w:before="39"/>
              <w:rPr>
                <w:sz w:val="28"/>
              </w:rPr>
            </w:pPr>
            <w:r>
              <w:rPr>
                <w:position w:val="14"/>
                <w:sz w:val="14"/>
              </w:rPr>
              <w:t>2</w:t>
            </w:r>
            <w:r>
              <w:rPr>
                <w:spacing w:val="-1"/>
                <w:sz w:val="28"/>
              </w:rPr>
              <w:t>前項情形，甲方得斟酌其違規情節或涉虛報、浮報之額度，核定扣抵或追</w:t>
            </w:r>
          </w:p>
          <w:p>
            <w:pPr>
              <w:pStyle w:val="TableParagraph"/>
              <w:spacing w:before="42"/>
              <w:ind w:left="347"/>
              <w:rPr>
                <w:sz w:val="28"/>
              </w:rPr>
            </w:pPr>
            <w:r>
              <w:rPr>
                <w:spacing w:val="-3"/>
                <w:sz w:val="28"/>
              </w:rPr>
              <w:t>償之金額。扣抵者，得自甲方知悉後六個月內之核定服務費用分期扣抵。</w:t>
            </w:r>
          </w:p>
        </w:tc>
      </w:tr>
    </w:tbl>
    <w:p>
      <w:pPr>
        <w:rPr>
          <w:sz w:val="2"/>
          <w:szCs w:val="2"/>
        </w:rPr>
      </w:pPr>
      <w:r>
        <w:rPr>
          <w:sz w:val="2"/>
          <w:szCs w:val="2"/>
        </w:rPr>
        <mc:AlternateContent>
          <mc:Choice Requires="wps">
            <w:drawing>
              <wp:anchor distT="0" distB="0" distL="0" distR="0" allowOverlap="1" layoutInCell="1" locked="0" behindDoc="1" simplePos="0" relativeHeight="487166976">
                <wp:simplePos x="0" y="0"/>
                <wp:positionH relativeFrom="page">
                  <wp:posOffset>5426709</wp:posOffset>
                </wp:positionH>
                <wp:positionV relativeFrom="page">
                  <wp:posOffset>8634729</wp:posOffset>
                </wp:positionV>
                <wp:extent cx="2125345" cy="205422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2125345" cy="2054225"/>
                          <a:chExt cx="2125345" cy="2054225"/>
                        </a:xfrm>
                      </wpg:grpSpPr>
                      <wps:wsp>
                        <wps:cNvPr id="21" name="Graphic 21"/>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22" name="Textbox 22"/>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7</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9504" id="docshapegroup20" coordorigin="8546,13598" coordsize="3347,3235">
                <v:shape style="position:absolute;left:8546;top:13598;width:3347;height:3235" id="docshape21" coordorigin="8546,13598" coordsize="3347,3235" path="m11893,13598l8546,16833,11893,16833,11893,13598xe" filled="true" fillcolor="#d2eaf0" stroked="false">
                  <v:path arrowok="t"/>
                  <v:fill type="solid"/>
                </v:shape>
                <v:shape style="position:absolute;left:8546;top:13598;width:3347;height:3235" type="#_x0000_t202" id="docshape22"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7</w:t>
                        </w:r>
                      </w:p>
                    </w:txbxContent>
                  </v:textbox>
                  <w10:wrap type="none"/>
                </v:shape>
                <w10:wrap type="none"/>
              </v:group>
            </w:pict>
          </mc:Fallback>
        </mc:AlternateContent>
      </w:r>
    </w:p>
    <w:p>
      <w:pPr>
        <w:spacing w:after="0"/>
        <w:rPr>
          <w:sz w:val="2"/>
          <w:szCs w:val="2"/>
        </w:rPr>
        <w:sectPr>
          <w:type w:val="continuous"/>
          <w:pgSz w:w="11910" w:h="16840"/>
          <w:pgMar w:header="882" w:footer="0" w:top="1120" w:bottom="1467"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200" w:hRule="atLeast"/>
        </w:trPr>
        <w:tc>
          <w:tcPr>
            <w:tcW w:w="10267" w:type="dxa"/>
          </w:tcPr>
          <w:p>
            <w:pPr>
              <w:pStyle w:val="TableParagraph"/>
              <w:tabs>
                <w:tab w:pos="1509" w:val="left" w:leader="none"/>
              </w:tabs>
              <w:spacing w:line="453" w:lineRule="exact"/>
              <w:ind w:left="107"/>
              <w:rPr>
                <w:rFonts w:ascii="Microsoft JhengHei" w:eastAsia="Microsoft JhengHei"/>
                <w:b/>
                <w:sz w:val="28"/>
              </w:rPr>
            </w:pPr>
            <w:r>
              <w:rPr>
                <w:rFonts w:ascii="Microsoft JhengHei" w:eastAsia="Microsoft JhengHei"/>
                <w:b/>
                <w:sz w:val="28"/>
              </w:rPr>
              <w:t>第十四</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服務費用轉</w:t>
            </w:r>
            <w:r>
              <w:rPr>
                <w:rFonts w:ascii="Microsoft JhengHei" w:eastAsia="Microsoft JhengHei"/>
                <w:b/>
                <w:spacing w:val="-10"/>
                <w:sz w:val="28"/>
              </w:rPr>
              <w:t>帳</w:t>
            </w:r>
          </w:p>
          <w:p>
            <w:pPr>
              <w:pStyle w:val="TableParagraph"/>
              <w:spacing w:line="348" w:lineRule="exact"/>
              <w:ind w:left="907"/>
              <w:rPr>
                <w:sz w:val="28"/>
              </w:rPr>
            </w:pPr>
            <w:r>
              <w:rPr>
                <w:spacing w:val="-3"/>
                <w:sz w:val="28"/>
              </w:rPr>
              <w:t>甲方撥付服務費用，均採轉帳方式辦理，乙方應於金融機構開立帳戶後，主</w:t>
            </w:r>
          </w:p>
          <w:p>
            <w:pPr>
              <w:pStyle w:val="TableParagraph"/>
              <w:spacing w:line="339" w:lineRule="exact" w:before="39"/>
              <w:ind w:left="347"/>
              <w:rPr>
                <w:sz w:val="28"/>
              </w:rPr>
            </w:pPr>
            <w:r>
              <w:rPr>
                <w:spacing w:val="-3"/>
                <w:sz w:val="28"/>
              </w:rPr>
              <w:t>動通知甲方；帳戶變更時，亦同。</w:t>
            </w:r>
          </w:p>
        </w:tc>
      </w:tr>
      <w:tr>
        <w:trPr>
          <w:trHeight w:val="12401" w:hRule="atLeast"/>
        </w:trPr>
        <w:tc>
          <w:tcPr>
            <w:tcW w:w="10267" w:type="dxa"/>
          </w:tcPr>
          <w:p>
            <w:pPr>
              <w:pStyle w:val="TableParagraph"/>
              <w:tabs>
                <w:tab w:pos="1509" w:val="left" w:leader="none"/>
              </w:tabs>
              <w:spacing w:line="453" w:lineRule="exact"/>
              <w:ind w:left="107"/>
              <w:rPr>
                <w:rFonts w:ascii="Microsoft JhengHei" w:eastAsia="Microsoft JhengHei"/>
                <w:b/>
                <w:sz w:val="28"/>
              </w:rPr>
            </w:pPr>
            <w:r>
              <w:rPr>
                <w:rFonts w:ascii="Microsoft JhengHei" w:eastAsia="Microsoft JhengHei"/>
                <w:b/>
                <w:sz w:val="28"/>
              </w:rPr>
              <w:t>第十五</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權利及責</w:t>
            </w:r>
            <w:r>
              <w:rPr>
                <w:rFonts w:ascii="Microsoft JhengHei" w:eastAsia="Microsoft JhengHei"/>
                <w:b/>
                <w:spacing w:val="-10"/>
                <w:sz w:val="28"/>
              </w:rPr>
              <w:t>任</w:t>
            </w:r>
          </w:p>
          <w:p>
            <w:pPr>
              <w:pStyle w:val="TableParagraph"/>
              <w:spacing w:line="348" w:lineRule="exact"/>
              <w:ind w:left="907"/>
              <w:rPr>
                <w:sz w:val="28"/>
              </w:rPr>
            </w:pPr>
            <w:r>
              <w:rPr>
                <w:spacing w:val="-2"/>
                <w:position w:val="14"/>
                <w:sz w:val="14"/>
              </w:rPr>
              <w:t>1</w:t>
            </w:r>
            <w:r>
              <w:rPr>
                <w:spacing w:val="-3"/>
                <w:sz w:val="28"/>
              </w:rPr>
              <w:t>甲方應辦理下列事項：</w:t>
            </w:r>
          </w:p>
          <w:p>
            <w:pPr>
              <w:pStyle w:val="TableParagraph"/>
              <w:numPr>
                <w:ilvl w:val="0"/>
                <w:numId w:val="11"/>
              </w:numPr>
              <w:tabs>
                <w:tab w:pos="1275" w:val="left" w:leader="none"/>
              </w:tabs>
              <w:spacing w:line="240" w:lineRule="auto" w:before="42" w:after="0"/>
              <w:ind w:left="1275" w:right="0" w:hanging="565"/>
              <w:jc w:val="left"/>
              <w:rPr>
                <w:sz w:val="28"/>
              </w:rPr>
            </w:pPr>
            <w:r>
              <w:rPr>
                <w:spacing w:val="-3"/>
                <w:sz w:val="28"/>
              </w:rPr>
              <w:t>對於服務辦理情形得隨時進行瞭解及督導(輔導)或辦理考核。</w:t>
            </w:r>
          </w:p>
          <w:p>
            <w:pPr>
              <w:pStyle w:val="TableParagraph"/>
              <w:numPr>
                <w:ilvl w:val="0"/>
                <w:numId w:val="11"/>
              </w:numPr>
              <w:tabs>
                <w:tab w:pos="1275" w:val="left" w:leader="none"/>
                <w:tab w:pos="1277" w:val="left" w:leader="none"/>
              </w:tabs>
              <w:spacing w:line="268" w:lineRule="auto" w:before="39" w:after="0"/>
              <w:ind w:left="1277" w:right="152" w:hanging="567"/>
              <w:jc w:val="both"/>
              <w:rPr>
                <w:sz w:val="28"/>
              </w:rPr>
            </w:pPr>
            <w:r>
              <w:rPr>
                <w:spacing w:val="-2"/>
                <w:sz w:val="28"/>
              </w:rPr>
              <w:t>為瞭解乙方提供長照服務之情形，甲方應依特管辦法第三十四條規定，得通知其提供相關服務資料，並得派員訪查之。訪查時，甲方應出示有</w:t>
            </w:r>
            <w:r>
              <w:rPr>
                <w:spacing w:val="10"/>
                <w:sz w:val="28"/>
              </w:rPr>
              <w:t>關執行職務之證明文件或顯示足資辨別之標誌；乙方應提供必要之協</w:t>
            </w:r>
            <w:r>
              <w:rPr>
                <w:spacing w:val="-2"/>
                <w:sz w:val="28"/>
              </w:rPr>
              <w:t>助，不得規避、妨礙或拒絕。</w:t>
            </w:r>
          </w:p>
          <w:p>
            <w:pPr>
              <w:pStyle w:val="TableParagraph"/>
              <w:numPr>
                <w:ilvl w:val="0"/>
                <w:numId w:val="11"/>
              </w:numPr>
              <w:tabs>
                <w:tab w:pos="1275" w:val="left" w:leader="none"/>
                <w:tab w:pos="1277" w:val="left" w:leader="none"/>
              </w:tabs>
              <w:spacing w:line="268" w:lineRule="auto" w:before="0" w:after="0"/>
              <w:ind w:left="1277" w:right="159" w:hanging="567"/>
              <w:jc w:val="left"/>
              <w:rPr>
                <w:sz w:val="28"/>
              </w:rPr>
            </w:pPr>
            <w:r>
              <w:rPr>
                <w:spacing w:val="-2"/>
                <w:sz w:val="28"/>
              </w:rPr>
              <w:t>依執行情形將服務費用核付乙方；若發現乙方有短報或漏報者，應通知</w:t>
            </w:r>
            <w:r>
              <w:rPr>
                <w:spacing w:val="-4"/>
                <w:sz w:val="28"/>
              </w:rPr>
              <w:t>乙方。</w:t>
            </w:r>
          </w:p>
          <w:p>
            <w:pPr>
              <w:pStyle w:val="TableParagraph"/>
              <w:numPr>
                <w:ilvl w:val="0"/>
                <w:numId w:val="11"/>
              </w:numPr>
              <w:tabs>
                <w:tab w:pos="1275" w:val="left" w:leader="none"/>
              </w:tabs>
              <w:spacing w:line="354" w:lineRule="exact" w:before="0" w:after="0"/>
              <w:ind w:left="1275" w:right="0" w:hanging="565"/>
              <w:jc w:val="left"/>
              <w:rPr>
                <w:sz w:val="28"/>
              </w:rPr>
            </w:pPr>
            <w:r>
              <w:rPr>
                <w:spacing w:val="-3"/>
                <w:sz w:val="28"/>
              </w:rPr>
              <w:t>不定期辦理個案服務滿意度調查。</w:t>
            </w:r>
          </w:p>
          <w:p>
            <w:pPr>
              <w:pStyle w:val="TableParagraph"/>
              <w:spacing w:before="37"/>
              <w:ind w:left="907"/>
              <w:rPr>
                <w:sz w:val="28"/>
              </w:rPr>
            </w:pPr>
            <w:r>
              <w:rPr>
                <w:spacing w:val="-2"/>
                <w:position w:val="14"/>
                <w:sz w:val="14"/>
              </w:rPr>
              <w:t>2</w:t>
            </w:r>
            <w:r>
              <w:rPr>
                <w:spacing w:val="-3"/>
                <w:sz w:val="28"/>
              </w:rPr>
              <w:t>乙方應辦理下列事項：</w:t>
            </w:r>
          </w:p>
          <w:p>
            <w:pPr>
              <w:pStyle w:val="TableParagraph"/>
              <w:numPr>
                <w:ilvl w:val="0"/>
                <w:numId w:val="12"/>
              </w:numPr>
              <w:tabs>
                <w:tab w:pos="1275" w:val="left" w:leader="none"/>
              </w:tabs>
              <w:spacing w:line="240" w:lineRule="auto" w:before="42" w:after="0"/>
              <w:ind w:left="1275" w:right="0" w:hanging="565"/>
              <w:jc w:val="left"/>
              <w:rPr>
                <w:sz w:val="28"/>
              </w:rPr>
            </w:pPr>
            <w:r>
              <w:rPr>
                <w:spacing w:val="-4"/>
                <w:sz w:val="28"/>
              </w:rPr>
              <w:t>接獲派案：</w:t>
            </w:r>
          </w:p>
          <w:p>
            <w:pPr>
              <w:pStyle w:val="TableParagraph"/>
              <w:numPr>
                <w:ilvl w:val="1"/>
                <w:numId w:val="12"/>
              </w:numPr>
              <w:tabs>
                <w:tab w:pos="1485" w:val="left" w:leader="none"/>
                <w:tab w:pos="1488" w:val="left" w:leader="none"/>
              </w:tabs>
              <w:spacing w:line="268" w:lineRule="auto" w:before="39" w:after="0"/>
              <w:ind w:left="1488" w:right="89" w:hanging="636"/>
              <w:jc w:val="both"/>
              <w:rPr>
                <w:sz w:val="28"/>
              </w:rPr>
            </w:pPr>
            <w:r>
              <w:rPr>
                <w:sz w:val="28"/>
              </w:rPr>
              <w:t>依特管辦法第十三條規定，乙方接受派案或轉介(照會)之個案，應於派案或轉介(照會)後</w:t>
            </w:r>
            <w:r>
              <w:rPr>
                <w:spacing w:val="80"/>
                <w:w w:val="150"/>
                <w:sz w:val="28"/>
                <w:u w:val="single"/>
              </w:rPr>
              <w:t> </w:t>
            </w:r>
            <w:r>
              <w:rPr>
                <w:sz w:val="28"/>
                <w:u w:val="single"/>
              </w:rPr>
              <w:t>2</w:t>
            </w:r>
            <w:r>
              <w:rPr>
                <w:spacing w:val="80"/>
                <w:sz w:val="28"/>
                <w:u w:val="single"/>
              </w:rPr>
              <w:t>  </w:t>
            </w:r>
            <w:r>
              <w:rPr>
                <w:sz w:val="28"/>
              </w:rPr>
              <w:t>日(工作天)內回覆處理情形，並於接受派案或轉介(照會)日起</w:t>
            </w:r>
            <w:r>
              <w:rPr>
                <w:spacing w:val="80"/>
                <w:w w:val="150"/>
                <w:sz w:val="28"/>
                <w:u w:val="single"/>
              </w:rPr>
              <w:t> </w:t>
            </w:r>
            <w:r>
              <w:rPr>
                <w:sz w:val="28"/>
                <w:u w:val="single"/>
              </w:rPr>
              <w:t>5</w:t>
            </w:r>
            <w:r>
              <w:rPr>
                <w:spacing w:val="80"/>
                <w:sz w:val="28"/>
                <w:u w:val="single"/>
              </w:rPr>
              <w:t>  </w:t>
            </w:r>
            <w:r>
              <w:rPr>
                <w:sz w:val="28"/>
              </w:rPr>
              <w:t>日內(工作天)提供第一次服務，如因不可抗力因素及不可歸責於乙方事由無法於</w:t>
            </w:r>
            <w:r>
              <w:rPr>
                <w:spacing w:val="40"/>
                <w:sz w:val="28"/>
                <w:u w:val="single"/>
              </w:rPr>
              <w:t>  </w:t>
            </w:r>
            <w:r>
              <w:rPr>
                <w:sz w:val="28"/>
                <w:u w:val="single"/>
              </w:rPr>
              <w:t>5</w:t>
            </w:r>
            <w:r>
              <w:rPr>
                <w:spacing w:val="40"/>
                <w:sz w:val="28"/>
                <w:u w:val="single"/>
              </w:rPr>
              <w:t>  </w:t>
            </w:r>
            <w:r>
              <w:rPr>
                <w:sz w:val="28"/>
              </w:rPr>
              <w:t>(工作天)日內提供，應</w:t>
            </w:r>
            <w:r>
              <w:rPr>
                <w:spacing w:val="-2"/>
                <w:sz w:val="28"/>
              </w:rPr>
              <w:t>通報甲方照管中心或社區整合型服務中心。</w:t>
            </w:r>
          </w:p>
          <w:p>
            <w:pPr>
              <w:pStyle w:val="TableParagraph"/>
              <w:numPr>
                <w:ilvl w:val="1"/>
                <w:numId w:val="12"/>
              </w:numPr>
              <w:tabs>
                <w:tab w:pos="1485" w:val="left" w:leader="none"/>
                <w:tab w:pos="1488" w:val="left" w:leader="none"/>
              </w:tabs>
              <w:spacing w:line="266" w:lineRule="auto" w:before="0" w:after="0"/>
              <w:ind w:left="1488" w:right="101" w:hanging="636"/>
              <w:jc w:val="both"/>
              <w:rPr>
                <w:sz w:val="28"/>
              </w:rPr>
            </w:pPr>
            <w:r>
              <w:rPr>
                <w:spacing w:val="6"/>
                <w:w w:val="100"/>
                <w:sz w:val="28"/>
              </w:rPr>
              <w:t>服務項目為居家失能個案家庭醫師照護服務者，接受派案後應於十四</w:t>
            </w:r>
            <w:r>
              <w:rPr>
                <w:spacing w:val="6"/>
                <w:w w:val="100"/>
                <w:sz w:val="28"/>
              </w:rPr>
              <w:t>日內開立醫師意見書，但「出院準備銜接長照服務計畫」之個案，則</w:t>
            </w:r>
            <w:r>
              <w:rPr>
                <w:spacing w:val="-1"/>
                <w:w w:val="100"/>
                <w:sz w:val="28"/>
              </w:rPr>
              <w:t>不受十四日之限制。</w:t>
            </w:r>
          </w:p>
          <w:p>
            <w:pPr>
              <w:pStyle w:val="TableParagraph"/>
              <w:numPr>
                <w:ilvl w:val="1"/>
                <w:numId w:val="12"/>
              </w:numPr>
              <w:tabs>
                <w:tab w:pos="1485" w:val="left" w:leader="none"/>
                <w:tab w:pos="1488" w:val="left" w:leader="none"/>
              </w:tabs>
              <w:spacing w:line="266" w:lineRule="auto" w:before="0" w:after="0"/>
              <w:ind w:left="1488" w:right="105" w:hanging="636"/>
              <w:jc w:val="both"/>
              <w:rPr>
                <w:sz w:val="28"/>
              </w:rPr>
            </w:pPr>
            <w:r>
              <w:rPr>
                <w:spacing w:val="6"/>
                <w:w w:val="100"/>
                <w:sz w:val="28"/>
              </w:rPr>
              <w:t>乙方開始提供個案服務後，經甲方照管中心核可，始可辦理服務內容</w:t>
            </w:r>
            <w:r>
              <w:rPr>
                <w:w w:val="100"/>
                <w:sz w:val="28"/>
              </w:rPr>
              <w:t>異動。</w:t>
            </w:r>
          </w:p>
          <w:p>
            <w:pPr>
              <w:pStyle w:val="TableParagraph"/>
              <w:numPr>
                <w:ilvl w:val="0"/>
                <w:numId w:val="12"/>
              </w:numPr>
              <w:tabs>
                <w:tab w:pos="1275" w:val="left" w:leader="none"/>
              </w:tabs>
              <w:spacing w:line="240" w:lineRule="auto" w:before="1" w:after="0"/>
              <w:ind w:left="1275" w:right="0" w:hanging="565"/>
              <w:jc w:val="left"/>
              <w:rPr>
                <w:sz w:val="28"/>
              </w:rPr>
            </w:pPr>
            <w:r>
              <w:rPr>
                <w:spacing w:val="-3"/>
                <w:sz w:val="28"/>
              </w:rPr>
              <w:t>接受甲方或甲方委託單位之監督、查核。</w:t>
            </w:r>
          </w:p>
          <w:p>
            <w:pPr>
              <w:pStyle w:val="TableParagraph"/>
              <w:numPr>
                <w:ilvl w:val="0"/>
                <w:numId w:val="12"/>
              </w:numPr>
              <w:tabs>
                <w:tab w:pos="1275" w:val="left" w:leader="none"/>
                <w:tab w:pos="1277" w:val="left" w:leader="none"/>
              </w:tabs>
              <w:spacing w:line="266" w:lineRule="auto" w:before="43" w:after="0"/>
              <w:ind w:left="1277" w:right="150" w:hanging="567"/>
              <w:jc w:val="left"/>
              <w:rPr>
                <w:sz w:val="28"/>
              </w:rPr>
            </w:pPr>
            <w:r>
              <w:rPr>
                <w:spacing w:val="-2"/>
                <w:sz w:val="28"/>
              </w:rPr>
              <w:t>依法設置長照人員：(服務項目為居家失能個案家庭醫師照護服務者不適</w:t>
            </w:r>
            <w:r>
              <w:rPr>
                <w:spacing w:val="-6"/>
                <w:sz w:val="28"/>
              </w:rPr>
              <w:t>用)</w:t>
            </w:r>
          </w:p>
          <w:p>
            <w:pPr>
              <w:pStyle w:val="TableParagraph"/>
              <w:numPr>
                <w:ilvl w:val="1"/>
                <w:numId w:val="12"/>
              </w:numPr>
              <w:tabs>
                <w:tab w:pos="1485" w:val="left" w:leader="none"/>
                <w:tab w:pos="1488" w:val="left" w:leader="none"/>
              </w:tabs>
              <w:spacing w:line="266" w:lineRule="auto" w:before="3" w:after="0"/>
              <w:ind w:left="1488" w:right="74" w:hanging="636"/>
              <w:jc w:val="both"/>
              <w:rPr>
                <w:sz w:val="28"/>
              </w:rPr>
            </w:pPr>
            <w:r>
              <w:rPr>
                <w:spacing w:val="6"/>
                <w:w w:val="100"/>
                <w:sz w:val="28"/>
              </w:rPr>
              <w:t>有關長照人員之工資、工時、休息、休假、例假日或國定假日等勞動</w:t>
            </w:r>
            <w:r>
              <w:rPr>
                <w:spacing w:val="15"/>
                <w:w w:val="100"/>
                <w:sz w:val="28"/>
              </w:rPr>
              <w:t>條件，應符合勞動基準法及相關法規規定。乙方不得與長照人員約</w:t>
            </w:r>
            <w:r>
              <w:rPr>
                <w:spacing w:val="-3"/>
                <w:w w:val="100"/>
                <w:sz w:val="28"/>
              </w:rPr>
              <w:t>定，每月固定拋棄一定比例或金額之工資作為捐款。</w:t>
            </w:r>
          </w:p>
          <w:p>
            <w:pPr>
              <w:pStyle w:val="TableParagraph"/>
              <w:numPr>
                <w:ilvl w:val="1"/>
                <w:numId w:val="12"/>
              </w:numPr>
              <w:tabs>
                <w:tab w:pos="1485" w:val="left" w:leader="none"/>
                <w:tab w:pos="1488" w:val="left" w:leader="none"/>
              </w:tabs>
              <w:spacing w:line="240" w:lineRule="auto" w:before="5" w:after="0"/>
              <w:ind w:left="1485" w:right="0" w:hanging="633"/>
              <w:jc w:val="both"/>
              <w:rPr>
                <w:sz w:val="28"/>
              </w:rPr>
            </w:pPr>
            <w:r>
              <w:rPr>
                <w:spacing w:val="-1"/>
                <w:sz w:val="28"/>
              </w:rPr>
              <w:t>乙方為提供居家照顧服務，對於支援該單位之照顧服務人員，應依長</w:t>
            </w:r>
          </w:p>
          <w:p>
            <w:pPr>
              <w:pStyle w:val="TableParagraph"/>
              <w:spacing w:line="400" w:lineRule="atLeast"/>
              <w:ind w:left="1488" w:right="105"/>
              <w:rPr>
                <w:sz w:val="28"/>
              </w:rPr>
            </w:pPr>
            <w:r>
              <w:rPr>
                <w:spacing w:val="6"/>
                <w:w w:val="100"/>
                <w:sz w:val="28"/>
              </w:rPr>
              <w:t>照人員訓練辦法第十九條之一第二項及特管辦法第二十一條規定，乙</w:t>
            </w:r>
            <w:r>
              <w:rPr>
                <w:spacing w:val="-3"/>
                <w:w w:val="100"/>
                <w:sz w:val="28"/>
              </w:rPr>
              <w:t>方與該人員之權利義務應於支援服務之契約明定。</w:t>
            </w:r>
          </w:p>
        </w:tc>
      </w:tr>
    </w:tbl>
    <w:p>
      <w:pPr>
        <w:rPr>
          <w:sz w:val="2"/>
          <w:szCs w:val="2"/>
        </w:rPr>
      </w:pPr>
      <w:r>
        <w:rPr>
          <w:sz w:val="2"/>
          <w:szCs w:val="2"/>
        </w:rPr>
        <mc:AlternateContent>
          <mc:Choice Requires="wps">
            <w:drawing>
              <wp:anchor distT="0" distB="0" distL="0" distR="0" allowOverlap="1" layoutInCell="1" locked="0" behindDoc="1" simplePos="0" relativeHeight="487167488">
                <wp:simplePos x="0" y="0"/>
                <wp:positionH relativeFrom="page">
                  <wp:posOffset>5426709</wp:posOffset>
                </wp:positionH>
                <wp:positionV relativeFrom="page">
                  <wp:posOffset>8634729</wp:posOffset>
                </wp:positionV>
                <wp:extent cx="2125345" cy="205422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2125345" cy="2054225"/>
                          <a:chExt cx="2125345" cy="2054225"/>
                        </a:xfrm>
                      </wpg:grpSpPr>
                      <wps:wsp>
                        <wps:cNvPr id="24" name="Graphic 24"/>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25" name="Textbox 25"/>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8</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8992" id="docshapegroup23" coordorigin="8546,13598" coordsize="3347,3235">
                <v:shape style="position:absolute;left:8546;top:13598;width:3347;height:3235" id="docshape24" coordorigin="8546,13598" coordsize="3347,3235" path="m11893,13598l8546,16833,11893,16833,11893,13598xe" filled="true" fillcolor="#d2eaf0" stroked="false">
                  <v:path arrowok="t"/>
                  <v:fill type="solid"/>
                </v:shape>
                <v:shape style="position:absolute;left:8546;top:13598;width:3347;height:3235" type="#_x0000_t202" id="docshape25"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8</w:t>
                        </w:r>
                      </w:p>
                    </w:txbxContent>
                  </v:textbox>
                  <w10:wrap type="none"/>
                </v:shape>
                <w10:wrap type="none"/>
              </v:group>
            </w:pict>
          </mc:Fallback>
        </mc:AlternateContent>
      </w:r>
    </w:p>
    <w:p>
      <w:pPr>
        <w:spacing w:after="0"/>
        <w:rPr>
          <w:sz w:val="2"/>
          <w:szCs w:val="2"/>
        </w:rPr>
        <w:sectPr>
          <w:type w:val="continuous"/>
          <w:pgSz w:w="11910" w:h="16840"/>
          <w:pgMar w:header="882" w:footer="0" w:top="1120" w:bottom="1478"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3602" w:hRule="atLeast"/>
        </w:trPr>
        <w:tc>
          <w:tcPr>
            <w:tcW w:w="10267" w:type="dxa"/>
          </w:tcPr>
          <w:p>
            <w:pPr>
              <w:pStyle w:val="TableParagraph"/>
              <w:numPr>
                <w:ilvl w:val="0"/>
                <w:numId w:val="13"/>
              </w:numPr>
              <w:tabs>
                <w:tab w:pos="1485" w:val="left" w:leader="none"/>
                <w:tab w:pos="1488" w:val="left" w:leader="none"/>
              </w:tabs>
              <w:spacing w:line="268" w:lineRule="auto" w:before="42" w:after="0"/>
              <w:ind w:left="1488" w:right="105" w:hanging="636"/>
              <w:jc w:val="both"/>
              <w:rPr>
                <w:sz w:val="28"/>
              </w:rPr>
            </w:pPr>
            <w:r>
              <w:rPr>
                <w:spacing w:val="6"/>
                <w:w w:val="100"/>
                <w:sz w:val="28"/>
              </w:rPr>
              <w:t>乙方如為合作社，且所設置之長照人員屬乙方非具僱傭關係之社員，</w:t>
            </w:r>
            <w:r>
              <w:rPr>
                <w:spacing w:val="-3"/>
                <w:w w:val="100"/>
                <w:sz w:val="28"/>
              </w:rPr>
              <w:t>應符合下列勞動條件：</w:t>
            </w:r>
          </w:p>
          <w:p>
            <w:pPr>
              <w:pStyle w:val="TableParagraph"/>
              <w:numPr>
                <w:ilvl w:val="1"/>
                <w:numId w:val="13"/>
              </w:numPr>
              <w:tabs>
                <w:tab w:pos="1587" w:val="left" w:leader="none"/>
                <w:tab w:pos="1589" w:val="left" w:leader="none"/>
              </w:tabs>
              <w:spacing w:line="268" w:lineRule="auto" w:before="0" w:after="0"/>
              <w:ind w:left="1589" w:right="104" w:hanging="454"/>
              <w:jc w:val="both"/>
              <w:rPr>
                <w:sz w:val="28"/>
              </w:rPr>
            </w:pPr>
            <w:r>
              <w:rPr>
                <w:spacing w:val="-2"/>
                <w:sz w:val="28"/>
              </w:rPr>
              <w:t>勞務報酬：其勞務報酬之金額，為提供居家照顧服務者，依第一目薪資規定辦理。除另有約定外，勞務報酬應全額並按月全額直接給付社員，並應提供勞務報酬各項目計算方式明細。</w:t>
            </w:r>
          </w:p>
          <w:p>
            <w:pPr>
              <w:pStyle w:val="TableParagraph"/>
              <w:numPr>
                <w:ilvl w:val="1"/>
                <w:numId w:val="13"/>
              </w:numPr>
              <w:tabs>
                <w:tab w:pos="1587" w:val="left" w:leader="none"/>
                <w:tab w:pos="1589" w:val="left" w:leader="none"/>
              </w:tabs>
              <w:spacing w:line="268" w:lineRule="auto" w:before="0" w:after="0"/>
              <w:ind w:left="1589" w:right="104" w:hanging="454"/>
              <w:jc w:val="both"/>
              <w:rPr>
                <w:sz w:val="28"/>
              </w:rPr>
            </w:pPr>
            <w:r>
              <w:rPr>
                <w:spacing w:val="-2"/>
                <w:sz w:val="28"/>
              </w:rPr>
              <w:t>工時：每日正常工作時間以八小時原則，一日工時上限為十二小時；正常工作時間以外之工作時間，一個月上限為四十六小時。另應置備社員出勤紀錄，逐日記載社員出勤情形至分鐘為止，並保存五年。</w:t>
            </w:r>
          </w:p>
          <w:p>
            <w:pPr>
              <w:pStyle w:val="TableParagraph"/>
              <w:numPr>
                <w:ilvl w:val="1"/>
                <w:numId w:val="13"/>
              </w:numPr>
              <w:tabs>
                <w:tab w:pos="1587" w:val="left" w:leader="none"/>
                <w:tab w:pos="1589" w:val="left" w:leader="none"/>
              </w:tabs>
              <w:spacing w:line="266" w:lineRule="auto" w:before="0" w:after="0"/>
              <w:ind w:left="1589" w:right="95" w:hanging="454"/>
              <w:jc w:val="both"/>
              <w:rPr>
                <w:sz w:val="28"/>
              </w:rPr>
            </w:pPr>
            <w:r>
              <w:rPr>
                <w:spacing w:val="-2"/>
                <w:sz w:val="28"/>
              </w:rPr>
              <w:t>一例一休及國定假日：每七日應有一日例假及一日休息日。例假日、休息日及國定假日（內政部所定應放假之紀念日、節日、勞動節及其他中央主管機關指定應放假日)，應予放假；如徵得社員同意於是日出勤，勞務報酬應事先約定並核實發給。</w:t>
            </w:r>
          </w:p>
          <w:p>
            <w:pPr>
              <w:pStyle w:val="TableParagraph"/>
              <w:numPr>
                <w:ilvl w:val="1"/>
                <w:numId w:val="13"/>
              </w:numPr>
              <w:tabs>
                <w:tab w:pos="1587" w:val="left" w:leader="none"/>
                <w:tab w:pos="1589" w:val="left" w:leader="none"/>
              </w:tabs>
              <w:spacing w:line="268" w:lineRule="auto" w:before="0" w:after="0"/>
              <w:ind w:left="1589" w:right="95" w:hanging="454"/>
              <w:jc w:val="both"/>
              <w:rPr>
                <w:sz w:val="28"/>
              </w:rPr>
            </w:pPr>
            <w:r>
              <w:rPr>
                <w:spacing w:val="-2"/>
                <w:sz w:val="28"/>
              </w:rPr>
              <w:t>職業安全衛生：除應依法辦理職業安全衛生法第五十一條第一項準用自營作業者之規定外，應有職業安全衛生法第二十條（體格檢查及健康檢查</w:t>
            </w:r>
            <w:r>
              <w:rPr>
                <w:spacing w:val="-140"/>
                <w:sz w:val="28"/>
              </w:rPr>
              <w:t>）</w:t>
            </w:r>
            <w:r>
              <w:rPr>
                <w:spacing w:val="-2"/>
                <w:sz w:val="28"/>
              </w:rPr>
              <w:t>、第三十二條（施以從事工作與預防災變所必要之安全衛生教</w:t>
            </w:r>
            <w:r>
              <w:rPr>
                <w:spacing w:val="-2"/>
                <w:sz w:val="28"/>
              </w:rPr>
              <w:t>育及訓練）及第三十四條（訂定適合其需要之安全衛生工作守則）等規定內容之保障。</w:t>
            </w:r>
          </w:p>
          <w:p>
            <w:pPr>
              <w:pStyle w:val="TableParagraph"/>
              <w:numPr>
                <w:ilvl w:val="1"/>
                <w:numId w:val="13"/>
              </w:numPr>
              <w:tabs>
                <w:tab w:pos="1587" w:val="left" w:leader="none"/>
                <w:tab w:pos="1589" w:val="left" w:leader="none"/>
              </w:tabs>
              <w:spacing w:line="266" w:lineRule="auto" w:before="0" w:after="0"/>
              <w:ind w:left="1589" w:right="101" w:hanging="454"/>
              <w:jc w:val="both"/>
              <w:rPr>
                <w:sz w:val="28"/>
              </w:rPr>
            </w:pPr>
            <w:r>
              <w:rPr>
                <w:spacing w:val="-2"/>
                <w:sz w:val="28"/>
              </w:rPr>
              <w:t>性別工作平等：單位應提供職場性騷擾之內部申訴管道予提供勞務之社員，包括受理人員、申訴方式及流程等，並公告於單位網站或工作場所顯著之處，並適時向提供勞務之社員宣導。另單位不得對社員因性別或性傾向因素而有差別待遇，且合作社應於知悉職場性騷擾情事時，採取立即有效之糾正與補救措施並依性騷擾防治法之相關規定處理。經性騷擾防治法之調查程序，調查單位內社員性騷擾屬實者，單位應對該社員懲處，並將結果告知合作社及當事人。</w:t>
            </w:r>
          </w:p>
          <w:p>
            <w:pPr>
              <w:pStyle w:val="TableParagraph"/>
              <w:numPr>
                <w:ilvl w:val="1"/>
                <w:numId w:val="13"/>
              </w:numPr>
              <w:tabs>
                <w:tab w:pos="1587" w:val="left" w:leader="none"/>
                <w:tab w:pos="1589" w:val="left" w:leader="none"/>
              </w:tabs>
              <w:spacing w:line="268" w:lineRule="auto" w:before="0" w:after="0"/>
              <w:ind w:left="1589" w:right="89" w:hanging="454"/>
              <w:jc w:val="both"/>
              <w:rPr>
                <w:sz w:val="28"/>
              </w:rPr>
            </w:pPr>
            <w:r>
              <w:rPr>
                <w:spacing w:val="-2"/>
                <w:sz w:val="28"/>
              </w:rPr>
              <w:t>勞工保險、勞工職業災害保險及全民健康保險：未具僱傭關係而參加</w:t>
            </w:r>
            <w:r>
              <w:rPr>
                <w:sz w:val="28"/>
              </w:rPr>
              <w:t>職業工會之自營作業者得以所屬職業工會為投保單位加保，但同時有</w:t>
            </w:r>
            <w:r>
              <w:rPr>
                <w:spacing w:val="-2"/>
                <w:sz w:val="28"/>
              </w:rPr>
              <w:t>僱傭關係勞工之單位者，應成立投保單位，並以投保單位為其所僱人員辦理本項保險。</w:t>
            </w:r>
          </w:p>
          <w:p>
            <w:pPr>
              <w:pStyle w:val="TableParagraph"/>
              <w:numPr>
                <w:ilvl w:val="1"/>
                <w:numId w:val="13"/>
              </w:numPr>
              <w:tabs>
                <w:tab w:pos="1587" w:val="left" w:leader="none"/>
                <w:tab w:pos="1589" w:val="left" w:leader="none"/>
              </w:tabs>
              <w:spacing w:line="266" w:lineRule="auto" w:before="0" w:after="0"/>
              <w:ind w:left="1589" w:right="104" w:hanging="454"/>
              <w:jc w:val="both"/>
              <w:rPr>
                <w:sz w:val="28"/>
              </w:rPr>
            </w:pPr>
            <w:r>
              <w:rPr>
                <w:spacing w:val="-2"/>
                <w:sz w:val="28"/>
              </w:rPr>
              <w:t>機構責任險：應投保因業務疏漏、錯誤或過失，違反業務上之義務，致被照顧者體傷或死亡之機構責任險，或以其他同性質之商業保險代之，以保障被照顧者權益。</w:t>
            </w:r>
          </w:p>
          <w:p>
            <w:pPr>
              <w:pStyle w:val="TableParagraph"/>
              <w:numPr>
                <w:ilvl w:val="1"/>
                <w:numId w:val="13"/>
              </w:numPr>
              <w:tabs>
                <w:tab w:pos="1587" w:val="left" w:leader="none"/>
                <w:tab w:pos="1589" w:val="left" w:leader="none"/>
              </w:tabs>
              <w:spacing w:line="266" w:lineRule="auto" w:before="0" w:after="0"/>
              <w:ind w:left="1589" w:right="104" w:hanging="454"/>
              <w:jc w:val="both"/>
              <w:rPr>
                <w:sz w:val="28"/>
              </w:rPr>
            </w:pPr>
            <w:r>
              <w:rPr>
                <w:spacing w:val="-2"/>
                <w:sz w:val="28"/>
              </w:rPr>
              <w:t>合作社應將未比照聘僱關係給予社員之勞動權益，書面提供並清楚告知社員，如：加班費、休假、請假、職業災害補償、就業保險、退休</w:t>
            </w:r>
          </w:p>
          <w:p>
            <w:pPr>
              <w:pStyle w:val="TableParagraph"/>
              <w:spacing w:line="339" w:lineRule="exact"/>
              <w:ind w:left="1589"/>
              <w:rPr>
                <w:sz w:val="28"/>
              </w:rPr>
            </w:pPr>
            <w:r>
              <w:rPr>
                <w:spacing w:val="-3"/>
                <w:sz w:val="28"/>
              </w:rPr>
              <w:t>金等使社員知悉其未有之勞動權益。</w:t>
            </w:r>
          </w:p>
        </w:tc>
      </w:tr>
    </w:tbl>
    <w:p>
      <w:pPr>
        <w:rPr>
          <w:sz w:val="2"/>
          <w:szCs w:val="2"/>
        </w:rPr>
      </w:pPr>
      <w:r>
        <w:rPr>
          <w:sz w:val="2"/>
          <w:szCs w:val="2"/>
        </w:rPr>
        <mc:AlternateContent>
          <mc:Choice Requires="wps">
            <w:drawing>
              <wp:anchor distT="0" distB="0" distL="0" distR="0" allowOverlap="1" layoutInCell="1" locked="0" behindDoc="1" simplePos="0" relativeHeight="487168000">
                <wp:simplePos x="0" y="0"/>
                <wp:positionH relativeFrom="page">
                  <wp:posOffset>5426709</wp:posOffset>
                </wp:positionH>
                <wp:positionV relativeFrom="page">
                  <wp:posOffset>8634729</wp:posOffset>
                </wp:positionV>
                <wp:extent cx="2125345" cy="205422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2125345" cy="2054225"/>
                          <a:chExt cx="2125345" cy="2054225"/>
                        </a:xfrm>
                      </wpg:grpSpPr>
                      <wps:wsp>
                        <wps:cNvPr id="27" name="Graphic 27"/>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28" name="Textbox 28"/>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9</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8480" id="docshapegroup26" coordorigin="8546,13598" coordsize="3347,3235">
                <v:shape style="position:absolute;left:8546;top:13598;width:3347;height:3235" id="docshape27" coordorigin="8546,13598" coordsize="3347,3235" path="m11893,13598l8546,16833,11893,16833,11893,13598xe" filled="true" fillcolor="#d2eaf0" stroked="false">
                  <v:path arrowok="t"/>
                  <v:fill type="solid"/>
                </v:shape>
                <v:shape style="position:absolute;left:8546;top:13598;width:3347;height:3235" type="#_x0000_t202" id="docshape28" filled="false" stroked="false">
                  <v:textbox inset="0,0,0,0">
                    <w:txbxContent>
                      <w:p>
                        <w:pPr>
                          <w:spacing w:line="240" w:lineRule="auto" w:before="793"/>
                          <w:rPr>
                            <w:rFonts w:ascii="Times New Roman"/>
                            <w:sz w:val="72"/>
                          </w:rPr>
                        </w:pPr>
                      </w:p>
                      <w:p>
                        <w:pPr>
                          <w:spacing w:before="0"/>
                          <w:ind w:left="0" w:right="724" w:firstLine="0"/>
                          <w:jc w:val="right"/>
                          <w:rPr>
                            <w:rFonts w:ascii="Calibri Light"/>
                            <w:sz w:val="72"/>
                          </w:rPr>
                        </w:pPr>
                        <w:r>
                          <w:rPr>
                            <w:rFonts w:ascii="Calibri Light"/>
                            <w:spacing w:val="-10"/>
                            <w:sz w:val="72"/>
                          </w:rPr>
                          <w:t>9</w:t>
                        </w:r>
                      </w:p>
                    </w:txbxContent>
                  </v:textbox>
                  <w10:wrap type="none"/>
                </v:shape>
                <w10:wrap type="none"/>
              </v:group>
            </w:pict>
          </mc:Fallback>
        </mc:AlternateContent>
      </w:r>
    </w:p>
    <w:p>
      <w:pPr>
        <w:spacing w:after="0"/>
        <w:rPr>
          <w:sz w:val="2"/>
          <w:szCs w:val="2"/>
        </w:rPr>
        <w:sectPr>
          <w:type w:val="continuous"/>
          <w:pgSz w:w="11910" w:h="16840"/>
          <w:pgMar w:header="882" w:footer="0" w:top="1120" w:bottom="1487"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3602" w:hRule="atLeast"/>
        </w:trPr>
        <w:tc>
          <w:tcPr>
            <w:tcW w:w="10267" w:type="dxa"/>
          </w:tcPr>
          <w:p>
            <w:pPr>
              <w:pStyle w:val="TableParagraph"/>
              <w:spacing w:line="266" w:lineRule="auto" w:before="42"/>
              <w:ind w:left="1488" w:right="105" w:hanging="636"/>
              <w:jc w:val="both"/>
              <w:rPr>
                <w:sz w:val="28"/>
              </w:rPr>
            </w:pPr>
            <w:r>
              <w:rPr>
                <w:spacing w:val="-2"/>
                <w:w w:val="100"/>
                <w:sz w:val="28"/>
              </w:rPr>
              <w:t>(四)</w:t>
            </w:r>
            <w:r>
              <w:rPr>
                <w:spacing w:val="-65"/>
                <w:sz w:val="28"/>
              </w:rPr>
              <w:t> </w:t>
            </w:r>
            <w:r>
              <w:rPr>
                <w:spacing w:val="6"/>
                <w:w w:val="100"/>
                <w:sz w:val="28"/>
              </w:rPr>
              <w:t>應依「勞動契約認定指導原則」及「勞動契約從屬性判斷檢核表」相</w:t>
            </w:r>
            <w:r>
              <w:rPr>
                <w:spacing w:val="6"/>
                <w:w w:val="100"/>
                <w:sz w:val="28"/>
              </w:rPr>
              <w:t>關規定檢視契約關係，不得有假承攬真僱用之情事，以避免不當損害</w:t>
            </w:r>
            <w:r>
              <w:rPr>
                <w:spacing w:val="-2"/>
                <w:w w:val="100"/>
                <w:sz w:val="28"/>
              </w:rPr>
              <w:t>勞工之勞動權益。</w:t>
            </w:r>
          </w:p>
          <w:p>
            <w:pPr>
              <w:pStyle w:val="TableParagraph"/>
              <w:numPr>
                <w:ilvl w:val="0"/>
                <w:numId w:val="14"/>
              </w:numPr>
              <w:tabs>
                <w:tab w:pos="1275" w:val="left" w:leader="none"/>
              </w:tabs>
              <w:spacing w:line="240" w:lineRule="auto" w:before="5" w:after="0"/>
              <w:ind w:left="1275" w:right="0" w:hanging="565"/>
              <w:jc w:val="left"/>
              <w:rPr>
                <w:sz w:val="28"/>
              </w:rPr>
            </w:pPr>
            <w:r>
              <w:rPr>
                <w:spacing w:val="-3"/>
                <w:sz w:val="28"/>
              </w:rPr>
              <w:t>提供服務及個案管理：</w:t>
            </w:r>
          </w:p>
          <w:p>
            <w:pPr>
              <w:pStyle w:val="TableParagraph"/>
              <w:numPr>
                <w:ilvl w:val="1"/>
                <w:numId w:val="14"/>
              </w:numPr>
              <w:tabs>
                <w:tab w:pos="1485" w:val="left" w:leader="none"/>
                <w:tab w:pos="1488" w:val="left" w:leader="none"/>
              </w:tabs>
              <w:spacing w:line="266" w:lineRule="auto" w:before="42" w:after="0"/>
              <w:ind w:left="1488" w:right="102" w:hanging="636"/>
              <w:jc w:val="both"/>
              <w:rPr>
                <w:sz w:val="28"/>
              </w:rPr>
            </w:pPr>
            <w:r>
              <w:rPr>
                <w:spacing w:val="6"/>
                <w:w w:val="100"/>
                <w:sz w:val="28"/>
              </w:rPr>
              <w:t>個案首次接受服務時，乙方應核對個案身分證明文件，其有冒名接受服務時，應拒絕提供服務；其身分變更時，應通知甲方及社區整合型</w:t>
            </w:r>
            <w:r>
              <w:rPr>
                <w:spacing w:val="-3"/>
                <w:w w:val="100"/>
                <w:sz w:val="28"/>
              </w:rPr>
              <w:t>服務中心。(上述身分證明文件係指長照資格認定之相關證明文件)</w:t>
            </w:r>
          </w:p>
          <w:p>
            <w:pPr>
              <w:pStyle w:val="TableParagraph"/>
              <w:numPr>
                <w:ilvl w:val="1"/>
                <w:numId w:val="14"/>
              </w:numPr>
              <w:tabs>
                <w:tab w:pos="1485" w:val="left" w:leader="none"/>
                <w:tab w:pos="1488" w:val="left" w:leader="none"/>
              </w:tabs>
              <w:spacing w:line="266" w:lineRule="auto" w:before="5" w:after="0"/>
              <w:ind w:left="1488" w:right="96" w:hanging="636"/>
              <w:jc w:val="both"/>
              <w:rPr>
                <w:sz w:val="28"/>
              </w:rPr>
            </w:pPr>
            <w:r>
              <w:rPr>
                <w:sz w:val="28"/>
              </w:rPr>
              <w:t>為確保個案服務品質，乙方應依特約辦法第十四條規定，與個案、家屬或支付費用者簽訂書面服務契約，倘有重新調整服務項目及頻率，</w:t>
            </w:r>
            <w:r>
              <w:rPr>
                <w:sz w:val="28"/>
              </w:rPr>
              <w:t>契約雙方應變更契約或其附件。前項服務契約依中央公告長照機構定型化契約應記載及不得記載事項及定型化契約範本，如有變更應報甲</w:t>
            </w:r>
            <w:r>
              <w:rPr>
                <w:spacing w:val="-4"/>
                <w:sz w:val="28"/>
              </w:rPr>
              <w:t>方備查。</w:t>
            </w:r>
          </w:p>
          <w:p>
            <w:pPr>
              <w:pStyle w:val="TableParagraph"/>
              <w:numPr>
                <w:ilvl w:val="1"/>
                <w:numId w:val="14"/>
              </w:numPr>
              <w:tabs>
                <w:tab w:pos="1485" w:val="left" w:leader="none"/>
                <w:tab w:pos="1488" w:val="left" w:leader="none"/>
              </w:tabs>
              <w:spacing w:line="268" w:lineRule="auto" w:before="9" w:after="0"/>
              <w:ind w:left="1488" w:right="100" w:hanging="636"/>
              <w:jc w:val="both"/>
              <w:rPr>
                <w:sz w:val="28"/>
              </w:rPr>
            </w:pPr>
            <w:r>
              <w:rPr>
                <w:spacing w:val="6"/>
                <w:w w:val="100"/>
                <w:sz w:val="28"/>
              </w:rPr>
              <w:t>乙方提供服務後，應依特管辦法第十五條規定，如發生災害防救法第二條第一款所定災害、傳染病防治法第三條第一項所定傳染病或其他重大變故，暫時無法提供服務者，應於二十四小時內通報社區整合型服務中心或甲方。如為下列情形之一，應於次一工作日通報社區整合</w:t>
            </w:r>
            <w:r>
              <w:rPr>
                <w:spacing w:val="-3"/>
                <w:w w:val="100"/>
                <w:sz w:val="28"/>
              </w:rPr>
              <w:t>型服務或甲方。如乙方為社區整合型服務者，應通報甲方：</w:t>
            </w:r>
          </w:p>
          <w:p>
            <w:pPr>
              <w:pStyle w:val="TableParagraph"/>
              <w:numPr>
                <w:ilvl w:val="2"/>
                <w:numId w:val="14"/>
              </w:numPr>
              <w:tabs>
                <w:tab w:pos="1587" w:val="left" w:leader="none"/>
              </w:tabs>
              <w:spacing w:line="349" w:lineRule="exact" w:before="0" w:after="0"/>
              <w:ind w:left="1587" w:right="0" w:hanging="452"/>
              <w:jc w:val="left"/>
              <w:rPr>
                <w:sz w:val="28"/>
              </w:rPr>
            </w:pPr>
            <w:r>
              <w:rPr>
                <w:spacing w:val="-3"/>
                <w:sz w:val="28"/>
              </w:rPr>
              <w:t>有前述情形，未危及個案生命安全。</w:t>
            </w:r>
          </w:p>
          <w:p>
            <w:pPr>
              <w:pStyle w:val="TableParagraph"/>
              <w:numPr>
                <w:ilvl w:val="2"/>
                <w:numId w:val="14"/>
              </w:numPr>
              <w:tabs>
                <w:tab w:pos="1587" w:val="left" w:leader="none"/>
              </w:tabs>
              <w:spacing w:line="240" w:lineRule="auto" w:before="42" w:after="0"/>
              <w:ind w:left="1587" w:right="0" w:hanging="452"/>
              <w:jc w:val="left"/>
              <w:rPr>
                <w:sz w:val="28"/>
              </w:rPr>
            </w:pPr>
            <w:r>
              <w:rPr>
                <w:spacing w:val="-3"/>
                <w:sz w:val="28"/>
              </w:rPr>
              <w:t>提供居家照顧服務時，發現個案屬給付辦法第十條第一項身分。</w:t>
            </w:r>
          </w:p>
          <w:p>
            <w:pPr>
              <w:pStyle w:val="TableParagraph"/>
              <w:numPr>
                <w:ilvl w:val="2"/>
                <w:numId w:val="14"/>
              </w:numPr>
              <w:tabs>
                <w:tab w:pos="1587" w:val="left" w:leader="none"/>
              </w:tabs>
              <w:spacing w:line="240" w:lineRule="auto" w:before="42" w:after="0"/>
              <w:ind w:left="1587" w:right="0" w:hanging="452"/>
              <w:jc w:val="left"/>
              <w:rPr>
                <w:sz w:val="28"/>
              </w:rPr>
            </w:pPr>
            <w:r>
              <w:rPr>
                <w:spacing w:val="-3"/>
                <w:sz w:val="28"/>
              </w:rPr>
              <w:t>所屬長照人員違反本法第五十六條之情事。</w:t>
            </w:r>
          </w:p>
          <w:p>
            <w:pPr>
              <w:pStyle w:val="TableParagraph"/>
              <w:numPr>
                <w:ilvl w:val="1"/>
                <w:numId w:val="14"/>
              </w:numPr>
              <w:tabs>
                <w:tab w:pos="1485" w:val="left" w:leader="none"/>
                <w:tab w:pos="1488" w:val="left" w:leader="none"/>
              </w:tabs>
              <w:spacing w:line="268" w:lineRule="auto" w:before="40" w:after="0"/>
              <w:ind w:left="1488" w:right="102" w:hanging="636"/>
              <w:jc w:val="both"/>
              <w:rPr>
                <w:sz w:val="28"/>
              </w:rPr>
            </w:pPr>
            <w:r>
              <w:rPr>
                <w:spacing w:val="6"/>
                <w:w w:val="100"/>
                <w:sz w:val="28"/>
              </w:rPr>
              <w:t>針對個案部分負擔所繳付之服務費用，應依特約辦法第十六條規定開立收據；其有自費負擔項目，應事先取得個案或家屬同意，並於服務</w:t>
            </w:r>
            <w:r>
              <w:rPr>
                <w:spacing w:val="-3"/>
                <w:w w:val="100"/>
                <w:sz w:val="28"/>
              </w:rPr>
              <w:t>契約載明，及照顧服務管理資訊系統紀錄載明。</w:t>
            </w:r>
          </w:p>
          <w:p>
            <w:pPr>
              <w:pStyle w:val="TableParagraph"/>
              <w:numPr>
                <w:ilvl w:val="1"/>
                <w:numId w:val="14"/>
              </w:numPr>
              <w:tabs>
                <w:tab w:pos="1485" w:val="left" w:leader="none"/>
                <w:tab w:pos="1488" w:val="left" w:leader="none"/>
              </w:tabs>
              <w:spacing w:line="268" w:lineRule="auto" w:before="0" w:after="0"/>
              <w:ind w:left="1488" w:right="86" w:hanging="636"/>
              <w:jc w:val="both"/>
              <w:rPr>
                <w:sz w:val="28"/>
              </w:rPr>
            </w:pPr>
            <w:r>
              <w:rPr>
                <w:spacing w:val="6"/>
                <w:w w:val="100"/>
                <w:sz w:val="28"/>
              </w:rPr>
              <w:t>乙方提供服務後，應配合甲方收集資料及登錄；事後應依特約辦法第</w:t>
            </w:r>
            <w:r>
              <w:rPr>
                <w:spacing w:val="2"/>
                <w:w w:val="100"/>
                <w:sz w:val="28"/>
              </w:rPr>
              <w:t>十七條規定製作紀錄及保存，並依長期照顧服務法施行細則第</w:t>
            </w:r>
            <w:r>
              <w:rPr>
                <w:spacing w:val="3"/>
                <w:w w:val="100"/>
                <w:sz w:val="28"/>
              </w:rPr>
              <w:t>8條製作</w:t>
            </w:r>
            <w:r>
              <w:rPr>
                <w:spacing w:val="6"/>
                <w:w w:val="100"/>
                <w:sz w:val="28"/>
              </w:rPr>
              <w:t>紀錄內容。紀錄及相關服務資料應存放於乙方設立地址，以供甲方查核。</w:t>
            </w:r>
          </w:p>
          <w:p>
            <w:pPr>
              <w:pStyle w:val="TableParagraph"/>
              <w:numPr>
                <w:ilvl w:val="1"/>
                <w:numId w:val="14"/>
              </w:numPr>
              <w:tabs>
                <w:tab w:pos="1485" w:val="left" w:leader="none"/>
                <w:tab w:pos="1488" w:val="left" w:leader="none"/>
              </w:tabs>
              <w:spacing w:line="268" w:lineRule="auto" w:before="0" w:after="0"/>
              <w:ind w:left="1488" w:right="105" w:hanging="636"/>
              <w:jc w:val="both"/>
              <w:rPr>
                <w:sz w:val="28"/>
              </w:rPr>
            </w:pPr>
            <w:r>
              <w:rPr>
                <w:spacing w:val="6"/>
                <w:w w:val="100"/>
                <w:sz w:val="28"/>
              </w:rPr>
              <w:t>乙方對於甲方之派案，除有特殊情形並經甲方同意外，應依甲方之指</w:t>
            </w:r>
            <w:r>
              <w:rPr>
                <w:spacing w:val="-3"/>
                <w:w w:val="100"/>
                <w:sz w:val="28"/>
              </w:rPr>
              <w:t>示提供服務，不得拒絕。</w:t>
            </w:r>
          </w:p>
          <w:p>
            <w:pPr>
              <w:pStyle w:val="TableParagraph"/>
              <w:numPr>
                <w:ilvl w:val="1"/>
                <w:numId w:val="14"/>
              </w:numPr>
              <w:tabs>
                <w:tab w:pos="1485" w:val="left" w:leader="none"/>
                <w:tab w:pos="1488" w:val="left" w:leader="none"/>
              </w:tabs>
              <w:spacing w:line="266" w:lineRule="auto" w:before="0" w:after="0"/>
              <w:ind w:left="1488" w:right="102" w:hanging="636"/>
              <w:jc w:val="both"/>
              <w:rPr>
                <w:sz w:val="28"/>
              </w:rPr>
            </w:pPr>
            <w:r>
              <w:rPr>
                <w:spacing w:val="6"/>
                <w:w w:val="100"/>
                <w:sz w:val="28"/>
              </w:rPr>
              <w:t>乙方為提供居家照顧服務、家庭托顧服務、專業服務、交通接送服務或於個案住居所提供之喘息服務，應依特管辦法第二十三條規定，協</w:t>
            </w:r>
            <w:r>
              <w:rPr>
                <w:spacing w:val="6"/>
                <w:w w:val="100"/>
                <w:sz w:val="28"/>
              </w:rPr>
              <w:t>調由個案之配偶、二親等內之直系血親或二親等內之直系姻親以外之</w:t>
            </w:r>
            <w:r>
              <w:rPr>
                <w:spacing w:val="-3"/>
                <w:w w:val="100"/>
                <w:sz w:val="28"/>
              </w:rPr>
              <w:t>服務人員提供服務。</w:t>
            </w:r>
          </w:p>
          <w:p>
            <w:pPr>
              <w:pStyle w:val="TableParagraph"/>
              <w:numPr>
                <w:ilvl w:val="1"/>
                <w:numId w:val="14"/>
              </w:numPr>
              <w:tabs>
                <w:tab w:pos="1485" w:val="left" w:leader="none"/>
              </w:tabs>
              <w:spacing w:line="339" w:lineRule="exact" w:before="0" w:after="0"/>
              <w:ind w:left="1485" w:right="0" w:hanging="604"/>
              <w:jc w:val="both"/>
              <w:rPr>
                <w:sz w:val="28"/>
              </w:rPr>
            </w:pPr>
            <w:r>
              <w:rPr>
                <w:sz w:val="28"/>
              </w:rPr>
              <w:t>乙方為提供居家照顧服務者（含到宅沐浴車服務</w:t>
            </w:r>
            <w:r>
              <w:rPr>
                <w:spacing w:val="-137"/>
                <w:sz w:val="28"/>
              </w:rPr>
              <w:t>）</w:t>
            </w:r>
            <w:r>
              <w:rPr>
                <w:spacing w:val="-2"/>
                <w:sz w:val="28"/>
              </w:rPr>
              <w:t>，於執行前項工作與</w:t>
            </w:r>
          </w:p>
        </w:tc>
      </w:tr>
    </w:tbl>
    <w:p>
      <w:pPr>
        <w:rPr>
          <w:sz w:val="2"/>
          <w:szCs w:val="2"/>
        </w:rPr>
      </w:pPr>
      <w:r>
        <w:rPr>
          <w:sz w:val="2"/>
          <w:szCs w:val="2"/>
        </w:rPr>
        <mc:AlternateContent>
          <mc:Choice Requires="wps">
            <w:drawing>
              <wp:anchor distT="0" distB="0" distL="0" distR="0" allowOverlap="1" layoutInCell="1" locked="0" behindDoc="1" simplePos="0" relativeHeight="487168512">
                <wp:simplePos x="0" y="0"/>
                <wp:positionH relativeFrom="page">
                  <wp:posOffset>5426709</wp:posOffset>
                </wp:positionH>
                <wp:positionV relativeFrom="page">
                  <wp:posOffset>8634729</wp:posOffset>
                </wp:positionV>
                <wp:extent cx="2125345" cy="205422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2125345" cy="2054225"/>
                          <a:chExt cx="2125345" cy="2054225"/>
                        </a:xfrm>
                      </wpg:grpSpPr>
                      <wps:wsp>
                        <wps:cNvPr id="30" name="Graphic 30"/>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31" name="Textbox 31"/>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10</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7968" id="docshapegroup29" coordorigin="8546,13598" coordsize="3347,3235">
                <v:shape style="position:absolute;left:8546;top:13598;width:3347;height:3235" id="docshape30" coordorigin="8546,13598" coordsize="3347,3235" path="m11893,13598l8546,16833,11893,16833,11893,13598xe" filled="true" fillcolor="#d2eaf0" stroked="false">
                  <v:path arrowok="t"/>
                  <v:fill type="solid"/>
                </v:shape>
                <v:shape style="position:absolute;left:8546;top:13598;width:3347;height:3235" type="#_x0000_t202" id="docshape31"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10</w:t>
                        </w:r>
                      </w:p>
                    </w:txbxContent>
                  </v:textbox>
                  <w10:wrap type="none"/>
                </v:shape>
                <w10:wrap type="none"/>
              </v:group>
            </w:pict>
          </mc:Fallback>
        </mc:AlternateContent>
      </w:r>
    </w:p>
    <w:p>
      <w:pPr>
        <w:spacing w:after="0"/>
        <w:rPr>
          <w:sz w:val="2"/>
          <w:szCs w:val="2"/>
        </w:rPr>
        <w:sectPr>
          <w:type w:val="continuous"/>
          <w:pgSz w:w="11910" w:h="16840"/>
          <w:pgMar w:header="882" w:footer="0" w:top="1120" w:bottom="1487"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3602" w:hRule="atLeast"/>
        </w:trPr>
        <w:tc>
          <w:tcPr>
            <w:tcW w:w="10267" w:type="dxa"/>
          </w:tcPr>
          <w:p>
            <w:pPr>
              <w:pStyle w:val="TableParagraph"/>
              <w:spacing w:line="266" w:lineRule="auto" w:before="42"/>
              <w:ind w:left="1488" w:right="90"/>
              <w:jc w:val="both"/>
              <w:rPr>
                <w:sz w:val="28"/>
              </w:rPr>
            </w:pPr>
            <w:r>
              <w:rPr>
                <w:spacing w:val="2"/>
                <w:w w:val="100"/>
                <w:sz w:val="28"/>
              </w:rPr>
              <w:t>督導流程時，應督導其所屬居家服務督導員（或到宅沐浴車內部督導/</w:t>
            </w:r>
            <w:r>
              <w:rPr>
                <w:spacing w:val="8"/>
                <w:w w:val="100"/>
                <w:sz w:val="28"/>
              </w:rPr>
              <w:t>主管人員</w:t>
            </w:r>
            <w:r>
              <w:rPr>
                <w:spacing w:val="7"/>
                <w:w w:val="100"/>
                <w:sz w:val="28"/>
              </w:rPr>
              <w:t>）</w:t>
            </w:r>
            <w:r>
              <w:rPr>
                <w:spacing w:val="6"/>
                <w:w w:val="100"/>
                <w:sz w:val="28"/>
              </w:rPr>
              <w:t>每月至少電話訪問個案一次，每三個月至少家庭訪視個案</w:t>
            </w:r>
            <w:r>
              <w:rPr>
                <w:spacing w:val="1"/>
                <w:w w:val="100"/>
                <w:sz w:val="28"/>
              </w:rPr>
              <w:t>一次，並確實執行每月辦理照顧服務員團督</w:t>
            </w:r>
            <w:r>
              <w:rPr>
                <w:spacing w:val="11"/>
                <w:sz w:val="28"/>
              </w:rPr>
              <w:t> </w:t>
            </w:r>
            <w:r>
              <w:rPr>
                <w:w w:val="100"/>
                <w:sz w:val="28"/>
              </w:rPr>
              <w:t>1</w:t>
            </w:r>
            <w:r>
              <w:rPr>
                <w:spacing w:val="2"/>
                <w:sz w:val="28"/>
              </w:rPr>
              <w:t> </w:t>
            </w:r>
            <w:r>
              <w:rPr>
                <w:spacing w:val="1"/>
                <w:w w:val="100"/>
                <w:sz w:val="28"/>
              </w:rPr>
              <w:t>次，必要時個督，除增</w:t>
            </w:r>
            <w:r>
              <w:rPr>
                <w:spacing w:val="-3"/>
                <w:w w:val="100"/>
                <w:sz w:val="28"/>
              </w:rPr>
              <w:t>進照顧服務員之服務能力外，確保提供適切服務。</w:t>
            </w:r>
          </w:p>
          <w:p>
            <w:pPr>
              <w:pStyle w:val="TableParagraph"/>
              <w:numPr>
                <w:ilvl w:val="0"/>
                <w:numId w:val="15"/>
              </w:numPr>
              <w:tabs>
                <w:tab w:pos="1485" w:val="left" w:leader="none"/>
                <w:tab w:pos="1488" w:val="left" w:leader="none"/>
              </w:tabs>
              <w:spacing w:line="266" w:lineRule="auto" w:before="7" w:after="0"/>
              <w:ind w:left="1488" w:right="98" w:hanging="636"/>
              <w:jc w:val="both"/>
              <w:rPr>
                <w:sz w:val="28"/>
              </w:rPr>
            </w:pPr>
            <w:r>
              <w:rPr>
                <w:sz w:val="28"/>
              </w:rPr>
              <w:t>乙方經終止特約或不予續約，或個案有轉介或轉換長期照顧服務提供</w:t>
            </w:r>
            <w:r>
              <w:rPr>
                <w:sz w:val="28"/>
              </w:rPr>
              <w:t>之需要時，乙方應提供個案清冊等相關資料，乙方應依特管辦法第三</w:t>
            </w:r>
            <w:r>
              <w:rPr>
                <w:spacing w:val="-2"/>
                <w:sz w:val="28"/>
              </w:rPr>
              <w:t>十三條規定協助甲方就個案提供適當之處置。</w:t>
            </w:r>
          </w:p>
          <w:p>
            <w:pPr>
              <w:pStyle w:val="TableParagraph"/>
              <w:numPr>
                <w:ilvl w:val="0"/>
                <w:numId w:val="15"/>
              </w:numPr>
              <w:tabs>
                <w:tab w:pos="1485" w:val="left" w:leader="none"/>
                <w:tab w:pos="1488" w:val="left" w:leader="none"/>
              </w:tabs>
              <w:spacing w:line="266" w:lineRule="auto" w:before="6" w:after="0"/>
              <w:ind w:left="1488" w:right="96" w:hanging="636"/>
              <w:jc w:val="both"/>
              <w:rPr>
                <w:sz w:val="28"/>
              </w:rPr>
            </w:pPr>
            <w:r>
              <w:rPr>
                <w:spacing w:val="-2"/>
                <w:sz w:val="28"/>
              </w:rPr>
              <w:t>乙方應依相關法律規定(如身心障礙者權益保障法、老人福利法、家庭暴力防治法等)，如發現個案有遺棄、身心虐待、歧視、傷害、違法限制個案人身自由或其他侵害其權益之情事，進行責任通報。</w:t>
            </w:r>
          </w:p>
          <w:p>
            <w:pPr>
              <w:pStyle w:val="TableParagraph"/>
              <w:numPr>
                <w:ilvl w:val="0"/>
                <w:numId w:val="15"/>
              </w:numPr>
              <w:tabs>
                <w:tab w:pos="1828" w:val="left" w:leader="none"/>
                <w:tab w:pos="1831" w:val="left" w:leader="none"/>
              </w:tabs>
              <w:spacing w:line="266" w:lineRule="auto" w:before="6" w:after="0"/>
              <w:ind w:left="1831" w:right="99" w:hanging="908"/>
              <w:jc w:val="both"/>
              <w:rPr>
                <w:sz w:val="28"/>
              </w:rPr>
            </w:pPr>
            <w:r>
              <w:rPr>
                <w:spacing w:val="-2"/>
                <w:sz w:val="28"/>
              </w:rPr>
              <w:t>乙方為社區整合型服務中心者，倘服務提供單位有正當事由未能提</w:t>
            </w:r>
            <w:r>
              <w:rPr>
                <w:spacing w:val="-2"/>
                <w:sz w:val="28"/>
              </w:rPr>
              <w:t>供服務，乙方應訂有相關處理或輔導機制，如：改派機制、請服務提供單位提出改善方案等。</w:t>
            </w:r>
          </w:p>
          <w:p>
            <w:pPr>
              <w:pStyle w:val="TableParagraph"/>
              <w:numPr>
                <w:ilvl w:val="0"/>
                <w:numId w:val="15"/>
              </w:numPr>
              <w:tabs>
                <w:tab w:pos="1828" w:val="left" w:leader="none"/>
                <w:tab w:pos="1831" w:val="left" w:leader="none"/>
              </w:tabs>
              <w:spacing w:line="266" w:lineRule="auto" w:before="5" w:after="0"/>
              <w:ind w:left="1831" w:right="99" w:hanging="908"/>
              <w:jc w:val="both"/>
              <w:rPr>
                <w:sz w:val="28"/>
              </w:rPr>
            </w:pPr>
            <w:r>
              <w:rPr>
                <w:spacing w:val="-2"/>
                <w:sz w:val="28"/>
              </w:rPr>
              <w:t>乙方為社區整合型服務中心者，應針對服務提供單位建立服務品質追蹤或督導機制。</w:t>
            </w:r>
          </w:p>
          <w:p>
            <w:pPr>
              <w:pStyle w:val="TableParagraph"/>
              <w:numPr>
                <w:ilvl w:val="0"/>
                <w:numId w:val="15"/>
              </w:numPr>
              <w:tabs>
                <w:tab w:pos="1828" w:val="left" w:leader="none"/>
                <w:tab w:pos="1831" w:val="left" w:leader="none"/>
              </w:tabs>
              <w:spacing w:line="268" w:lineRule="auto" w:before="3" w:after="0"/>
              <w:ind w:left="1831" w:right="84" w:hanging="908"/>
              <w:jc w:val="both"/>
              <w:rPr>
                <w:sz w:val="28"/>
              </w:rPr>
            </w:pPr>
            <w:r>
              <w:rPr>
                <w:sz w:val="28"/>
              </w:rPr>
              <w:t>乙方為社區整合型服務中心者，應依「縣市政府辦理社區整合型服</w:t>
            </w:r>
            <w:r>
              <w:rPr>
                <w:spacing w:val="-2"/>
                <w:sz w:val="28"/>
              </w:rPr>
              <w:t>務中心(A)注意事項與派案原則」訂定派案原則並公布派案情形。</w:t>
            </w:r>
          </w:p>
          <w:p>
            <w:pPr>
              <w:pStyle w:val="TableParagraph"/>
              <w:numPr>
                <w:ilvl w:val="0"/>
                <w:numId w:val="15"/>
              </w:numPr>
              <w:tabs>
                <w:tab w:pos="1828" w:val="left" w:leader="none"/>
                <w:tab w:pos="1831" w:val="left" w:leader="none"/>
              </w:tabs>
              <w:spacing w:line="268" w:lineRule="auto" w:before="0" w:after="0"/>
              <w:ind w:left="1831" w:right="99" w:hanging="908"/>
              <w:jc w:val="both"/>
              <w:rPr>
                <w:sz w:val="28"/>
              </w:rPr>
            </w:pPr>
            <w:r>
              <w:rPr>
                <w:spacing w:val="-2"/>
                <w:sz w:val="28"/>
              </w:rPr>
              <w:t>乙方為社區整合型服務中心者，應依特管辦法第二十條規定，該中心及其人員，不得向長照特約單位收取費用。</w:t>
            </w:r>
          </w:p>
          <w:p>
            <w:pPr>
              <w:pStyle w:val="TableParagraph"/>
              <w:numPr>
                <w:ilvl w:val="0"/>
                <w:numId w:val="15"/>
              </w:numPr>
              <w:tabs>
                <w:tab w:pos="1828" w:val="left" w:leader="none"/>
                <w:tab w:pos="1831" w:val="left" w:leader="none"/>
                <w:tab w:pos="8720" w:val="left" w:leader="none"/>
              </w:tabs>
              <w:spacing w:line="266" w:lineRule="auto" w:before="0" w:after="0"/>
              <w:ind w:left="1831" w:right="95" w:hanging="908"/>
              <w:jc w:val="both"/>
              <w:rPr>
                <w:sz w:val="28"/>
              </w:rPr>
            </w:pPr>
            <w:r>
              <w:rPr>
                <w:spacing w:val="-2"/>
                <w:sz w:val="28"/>
              </w:rPr>
              <w:t>乙方為社區整合型服務中心者，應於服務所在地</w:t>
            </w:r>
            <w:r>
              <w:rPr>
                <w:rFonts w:ascii="Times New Roman" w:eastAsia="Times New Roman"/>
                <w:sz w:val="28"/>
                <w:u w:val="single"/>
              </w:rPr>
              <w:tab/>
            </w:r>
            <w:r>
              <w:rPr>
                <w:spacing w:val="-2"/>
                <w:sz w:val="28"/>
              </w:rPr>
              <w:t>鄉(鎮市區</w:t>
            </w:r>
            <w:r>
              <w:rPr>
                <w:spacing w:val="-2"/>
                <w:sz w:val="28"/>
              </w:rPr>
              <w:t>)</w:t>
            </w:r>
            <w:r>
              <w:rPr>
                <w:sz w:val="28"/>
              </w:rPr>
              <w:t>內，辦理有助於與 B 級單位合作之措施，俾利後續個案管理以及服</w:t>
            </w:r>
            <w:r>
              <w:rPr>
                <w:spacing w:val="-4"/>
                <w:sz w:val="28"/>
              </w:rPr>
              <w:t>務媒合。</w:t>
            </w:r>
          </w:p>
          <w:p>
            <w:pPr>
              <w:pStyle w:val="TableParagraph"/>
              <w:numPr>
                <w:ilvl w:val="0"/>
                <w:numId w:val="15"/>
              </w:numPr>
              <w:tabs>
                <w:tab w:pos="1828" w:val="left" w:leader="none"/>
                <w:tab w:pos="1831" w:val="left" w:leader="none"/>
              </w:tabs>
              <w:spacing w:line="266" w:lineRule="auto" w:before="0" w:after="0"/>
              <w:ind w:left="1831" w:right="99" w:hanging="908"/>
              <w:jc w:val="both"/>
              <w:rPr>
                <w:sz w:val="28"/>
              </w:rPr>
            </w:pPr>
            <w:r>
              <w:rPr>
                <w:spacing w:val="-2"/>
                <w:sz w:val="28"/>
              </w:rPr>
              <w:t>服務項目為居家失能個案家庭醫師照護服務者，應依居家失能個案家庭醫師照護方案辦理。</w:t>
            </w:r>
          </w:p>
          <w:p>
            <w:pPr>
              <w:pStyle w:val="TableParagraph"/>
              <w:numPr>
                <w:ilvl w:val="0"/>
                <w:numId w:val="15"/>
              </w:numPr>
              <w:tabs>
                <w:tab w:pos="1828" w:val="left" w:leader="none"/>
                <w:tab w:pos="1831" w:val="left" w:leader="none"/>
              </w:tabs>
              <w:spacing w:line="268" w:lineRule="auto" w:before="2" w:after="0"/>
              <w:ind w:left="1831" w:right="86" w:hanging="908"/>
              <w:jc w:val="both"/>
              <w:rPr>
                <w:sz w:val="28"/>
              </w:rPr>
            </w:pPr>
            <w:r>
              <w:rPr>
                <w:spacing w:val="-2"/>
                <w:sz w:val="28"/>
              </w:rPr>
              <w:t>提供到宅服務之人員，應於每次提供服務後填寫服務紀錄卡或指導</w:t>
            </w:r>
            <w:r>
              <w:rPr>
                <w:spacing w:val="3"/>
                <w:sz w:val="28"/>
              </w:rPr>
              <w:t>紀錄或專業服務簽到表或家訪服務簽單等，並請服務使用者(或家</w:t>
            </w:r>
            <w:r>
              <w:rPr>
                <w:spacing w:val="-2"/>
                <w:sz w:val="28"/>
              </w:rPr>
              <w:t>屬)簽章及提供服務者簽名，前述紀錄(簽到)等相關表單則應放置於</w:t>
            </w:r>
            <w:r>
              <w:rPr>
                <w:sz w:val="28"/>
              </w:rPr>
              <w:t>案家明顯處，以利服務使用者核對及甲方、社區整合型服務中心(A</w:t>
            </w:r>
            <w:r>
              <w:rPr>
                <w:spacing w:val="-2"/>
                <w:sz w:val="28"/>
              </w:rPr>
              <w:t>個管員)查核。</w:t>
            </w:r>
          </w:p>
          <w:p>
            <w:pPr>
              <w:pStyle w:val="TableParagraph"/>
              <w:spacing w:line="268" w:lineRule="auto"/>
              <w:ind w:left="1277" w:right="152" w:hanging="567"/>
              <w:rPr>
                <w:sz w:val="28"/>
              </w:rPr>
            </w:pPr>
            <w:r>
              <w:rPr>
                <w:sz w:val="28"/>
              </w:rPr>
              <w:t>五、乙方對個案提供服務時，不得有下列行為，違反者依長期照顧相關法令</w:t>
            </w:r>
            <w:r>
              <w:rPr>
                <w:spacing w:val="-4"/>
                <w:sz w:val="28"/>
              </w:rPr>
              <w:t>論處：</w:t>
            </w:r>
          </w:p>
          <w:p>
            <w:pPr>
              <w:pStyle w:val="TableParagraph"/>
              <w:spacing w:line="266" w:lineRule="auto"/>
              <w:ind w:left="1730" w:right="100" w:hanging="708"/>
              <w:rPr>
                <w:sz w:val="28"/>
              </w:rPr>
            </w:pPr>
            <w:r>
              <w:rPr>
                <w:spacing w:val="-2"/>
                <w:sz w:val="28"/>
              </w:rPr>
              <w:t>(一) 乙方應依特管辦法第二十四條規定，不得以給予介紹獎金、服務費用</w:t>
            </w:r>
            <w:r>
              <w:rPr>
                <w:spacing w:val="-1"/>
                <w:sz w:val="28"/>
              </w:rPr>
              <w:t>加成或其他利益之方式，使其他長照特約單位服務之個案指定更換於</w:t>
            </w:r>
          </w:p>
          <w:p>
            <w:pPr>
              <w:pStyle w:val="TableParagraph"/>
              <w:spacing w:line="339" w:lineRule="exact"/>
              <w:ind w:left="1730"/>
              <w:rPr>
                <w:sz w:val="28"/>
              </w:rPr>
            </w:pPr>
            <w:r>
              <w:rPr>
                <w:spacing w:val="-4"/>
                <w:sz w:val="28"/>
              </w:rPr>
              <w:t>該單位接受服務。</w:t>
            </w:r>
          </w:p>
        </w:tc>
      </w:tr>
    </w:tbl>
    <w:p>
      <w:pPr>
        <w:rPr>
          <w:sz w:val="2"/>
          <w:szCs w:val="2"/>
        </w:rPr>
      </w:pPr>
      <w:r>
        <w:rPr>
          <w:sz w:val="2"/>
          <w:szCs w:val="2"/>
        </w:rPr>
        <mc:AlternateContent>
          <mc:Choice Requires="wps">
            <w:drawing>
              <wp:anchor distT="0" distB="0" distL="0" distR="0" allowOverlap="1" layoutInCell="1" locked="0" behindDoc="1" simplePos="0" relativeHeight="487169024">
                <wp:simplePos x="0" y="0"/>
                <wp:positionH relativeFrom="page">
                  <wp:posOffset>5426709</wp:posOffset>
                </wp:positionH>
                <wp:positionV relativeFrom="page">
                  <wp:posOffset>8634729</wp:posOffset>
                </wp:positionV>
                <wp:extent cx="2125345" cy="205422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2125345" cy="2054225"/>
                          <a:chExt cx="2125345" cy="2054225"/>
                        </a:xfrm>
                      </wpg:grpSpPr>
                      <wps:wsp>
                        <wps:cNvPr id="33" name="Graphic 33"/>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34" name="Textbox 34"/>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11</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7456" id="docshapegroup32" coordorigin="8546,13598" coordsize="3347,3235">
                <v:shape style="position:absolute;left:8546;top:13598;width:3347;height:3235" id="docshape33" coordorigin="8546,13598" coordsize="3347,3235" path="m11893,13598l8546,16833,11893,16833,11893,13598xe" filled="true" fillcolor="#d2eaf0" stroked="false">
                  <v:path arrowok="t"/>
                  <v:fill type="solid"/>
                </v:shape>
                <v:shape style="position:absolute;left:8546;top:13598;width:3347;height:3235" type="#_x0000_t202" id="docshape34"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11</w:t>
                        </w:r>
                      </w:p>
                    </w:txbxContent>
                  </v:textbox>
                  <w10:wrap type="none"/>
                </v:shape>
                <w10:wrap type="none"/>
              </v:group>
            </w:pict>
          </mc:Fallback>
        </mc:AlternateContent>
      </w:r>
    </w:p>
    <w:p>
      <w:pPr>
        <w:spacing w:after="0"/>
        <w:rPr>
          <w:sz w:val="2"/>
          <w:szCs w:val="2"/>
        </w:rPr>
        <w:sectPr>
          <w:type w:val="continuous"/>
          <w:pgSz w:w="11910" w:h="16840"/>
          <w:pgMar w:header="882" w:footer="0" w:top="1120" w:bottom="1487"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8801" w:hRule="atLeast"/>
        </w:trPr>
        <w:tc>
          <w:tcPr>
            <w:tcW w:w="10267" w:type="dxa"/>
          </w:tcPr>
          <w:p>
            <w:pPr>
              <w:pStyle w:val="TableParagraph"/>
              <w:numPr>
                <w:ilvl w:val="0"/>
                <w:numId w:val="16"/>
              </w:numPr>
              <w:tabs>
                <w:tab w:pos="1727" w:val="left" w:leader="none"/>
                <w:tab w:pos="1730" w:val="left" w:leader="none"/>
              </w:tabs>
              <w:spacing w:line="268" w:lineRule="auto" w:before="42" w:after="0"/>
              <w:ind w:left="1730" w:right="100" w:hanging="708"/>
              <w:jc w:val="left"/>
              <w:rPr>
                <w:sz w:val="28"/>
              </w:rPr>
            </w:pPr>
            <w:r>
              <w:rPr>
                <w:spacing w:val="-2"/>
                <w:sz w:val="28"/>
              </w:rPr>
              <w:t>遺棄、身心虐待、歧視、傷害、違法限制個案人身自由或其他侵害其權益之行為。</w:t>
            </w:r>
          </w:p>
          <w:p>
            <w:pPr>
              <w:pStyle w:val="TableParagraph"/>
              <w:numPr>
                <w:ilvl w:val="0"/>
                <w:numId w:val="16"/>
              </w:numPr>
              <w:tabs>
                <w:tab w:pos="1727" w:val="left" w:leader="none"/>
              </w:tabs>
              <w:spacing w:line="354" w:lineRule="exact" w:before="0" w:after="0"/>
              <w:ind w:left="1727" w:right="0" w:hanging="705"/>
              <w:jc w:val="left"/>
              <w:rPr>
                <w:sz w:val="28"/>
              </w:rPr>
            </w:pPr>
            <w:r>
              <w:rPr>
                <w:spacing w:val="-3"/>
                <w:sz w:val="28"/>
              </w:rPr>
              <w:t>侵害個案及其家屬隱私權。</w:t>
            </w:r>
          </w:p>
          <w:p>
            <w:pPr>
              <w:pStyle w:val="TableParagraph"/>
              <w:numPr>
                <w:ilvl w:val="0"/>
                <w:numId w:val="16"/>
              </w:numPr>
              <w:tabs>
                <w:tab w:pos="1727" w:val="left" w:leader="none"/>
                <w:tab w:pos="1730" w:val="left" w:leader="none"/>
              </w:tabs>
              <w:spacing w:line="268" w:lineRule="auto" w:before="42" w:after="0"/>
              <w:ind w:left="1730" w:right="100" w:hanging="708"/>
              <w:jc w:val="left"/>
              <w:rPr>
                <w:sz w:val="28"/>
              </w:rPr>
            </w:pPr>
            <w:r>
              <w:rPr>
                <w:spacing w:val="-2"/>
                <w:sz w:val="28"/>
              </w:rPr>
              <w:t>因個案之性別、出生地、種族、宗教、教育、職業、婚姻狀況、生理狀況而為歧視或不公平待遇。</w:t>
            </w:r>
          </w:p>
          <w:p>
            <w:pPr>
              <w:pStyle w:val="TableParagraph"/>
              <w:numPr>
                <w:ilvl w:val="0"/>
                <w:numId w:val="16"/>
              </w:numPr>
              <w:tabs>
                <w:tab w:pos="1727" w:val="left" w:leader="none"/>
              </w:tabs>
              <w:spacing w:line="354" w:lineRule="exact" w:before="0" w:after="0"/>
              <w:ind w:left="1727" w:right="0" w:hanging="705"/>
              <w:jc w:val="left"/>
              <w:rPr>
                <w:sz w:val="28"/>
              </w:rPr>
            </w:pPr>
            <w:r>
              <w:rPr>
                <w:spacing w:val="-3"/>
                <w:sz w:val="28"/>
              </w:rPr>
              <w:t>向個案推銷、販售、借貸及不當金錢往來之行為。</w:t>
            </w:r>
          </w:p>
          <w:p>
            <w:pPr>
              <w:pStyle w:val="TableParagraph"/>
              <w:numPr>
                <w:ilvl w:val="0"/>
                <w:numId w:val="16"/>
              </w:numPr>
              <w:tabs>
                <w:tab w:pos="1727" w:val="left" w:leader="none"/>
              </w:tabs>
              <w:spacing w:line="240" w:lineRule="auto" w:before="42" w:after="0"/>
              <w:ind w:left="1727" w:right="0" w:hanging="705"/>
              <w:jc w:val="left"/>
              <w:rPr>
                <w:sz w:val="28"/>
              </w:rPr>
            </w:pPr>
            <w:r>
              <w:rPr>
                <w:spacing w:val="-3"/>
                <w:sz w:val="28"/>
              </w:rPr>
              <w:t>假借廣告名義，行招攬服務。</w:t>
            </w:r>
          </w:p>
          <w:p>
            <w:pPr>
              <w:pStyle w:val="TableParagraph"/>
              <w:numPr>
                <w:ilvl w:val="0"/>
                <w:numId w:val="16"/>
              </w:numPr>
              <w:tabs>
                <w:tab w:pos="1727" w:val="left" w:leader="none"/>
              </w:tabs>
              <w:spacing w:line="240" w:lineRule="auto" w:before="42" w:after="0"/>
              <w:ind w:left="1727" w:right="0" w:hanging="705"/>
              <w:jc w:val="left"/>
              <w:rPr>
                <w:sz w:val="28"/>
              </w:rPr>
            </w:pPr>
            <w:r>
              <w:rPr>
                <w:spacing w:val="-3"/>
                <w:sz w:val="28"/>
              </w:rPr>
              <w:t>巧立名目向民眾收取費用。</w:t>
            </w:r>
          </w:p>
          <w:p>
            <w:pPr>
              <w:pStyle w:val="TableParagraph"/>
              <w:spacing w:before="40"/>
              <w:ind w:left="907"/>
              <w:rPr>
                <w:sz w:val="28"/>
              </w:rPr>
            </w:pPr>
            <w:r>
              <w:rPr>
                <w:spacing w:val="-2"/>
                <w:position w:val="14"/>
                <w:sz w:val="14"/>
              </w:rPr>
              <w:t>3</w:t>
            </w:r>
            <w:r>
              <w:rPr>
                <w:spacing w:val="-3"/>
                <w:sz w:val="28"/>
              </w:rPr>
              <w:t>其他權利與責任事項：</w:t>
            </w:r>
          </w:p>
          <w:p>
            <w:pPr>
              <w:pStyle w:val="TableParagraph"/>
              <w:numPr>
                <w:ilvl w:val="0"/>
                <w:numId w:val="17"/>
              </w:numPr>
              <w:tabs>
                <w:tab w:pos="1275" w:val="left" w:leader="none"/>
                <w:tab w:pos="1277" w:val="left" w:leader="none"/>
              </w:tabs>
              <w:spacing w:line="266" w:lineRule="auto" w:before="42" w:after="0"/>
              <w:ind w:left="1277" w:right="146" w:hanging="567"/>
              <w:jc w:val="both"/>
              <w:rPr>
                <w:sz w:val="28"/>
              </w:rPr>
            </w:pPr>
            <w:r>
              <w:rPr>
                <w:spacing w:val="-2"/>
                <w:sz w:val="28"/>
              </w:rPr>
              <w:t>為使民眾審慎使用長照資源，避免長照服務特約單位削價競爭，以建立穩定之長照服務體系，確保長照服務品質，保障身心失能者權益，乙方於核定給付額度內提供服務時，應依本法第八條之一第三項規定，向個案收取部分負擔費用。</w:t>
            </w:r>
          </w:p>
          <w:p>
            <w:pPr>
              <w:pStyle w:val="TableParagraph"/>
              <w:numPr>
                <w:ilvl w:val="0"/>
                <w:numId w:val="17"/>
              </w:numPr>
              <w:tabs>
                <w:tab w:pos="1275" w:val="left" w:leader="none"/>
                <w:tab w:pos="1277" w:val="left" w:leader="none"/>
              </w:tabs>
              <w:spacing w:line="266" w:lineRule="auto" w:before="8" w:after="0"/>
              <w:ind w:left="1277" w:right="153" w:hanging="567"/>
              <w:jc w:val="both"/>
              <w:rPr>
                <w:sz w:val="28"/>
              </w:rPr>
            </w:pPr>
            <w:r>
              <w:rPr>
                <w:spacing w:val="-2"/>
                <w:sz w:val="28"/>
              </w:rPr>
              <w:t>乙方代理人、使用人、受僱人之故意或過失，視為乙方之故意或過失。乙方如未依契約文件之約定或其他可歸責於乙方之事由，致使甲方負損害賠償責任或其他損害賠償責任時，不論本契約之履約期限是否屆滿，甲方對乙方均有求償權利。</w:t>
            </w:r>
          </w:p>
          <w:p>
            <w:pPr>
              <w:pStyle w:val="TableParagraph"/>
              <w:numPr>
                <w:ilvl w:val="0"/>
                <w:numId w:val="17"/>
              </w:numPr>
              <w:tabs>
                <w:tab w:pos="1275" w:val="left" w:leader="none"/>
                <w:tab w:pos="1277" w:val="left" w:leader="none"/>
              </w:tabs>
              <w:spacing w:line="268" w:lineRule="auto" w:before="6" w:after="0"/>
              <w:ind w:left="1277" w:right="161" w:hanging="567"/>
              <w:jc w:val="both"/>
              <w:rPr>
                <w:sz w:val="28"/>
              </w:rPr>
            </w:pPr>
            <w:r>
              <w:rPr>
                <w:spacing w:val="-2"/>
                <w:sz w:val="28"/>
              </w:rPr>
              <w:t>個案因接受乙方服務，認為乙方損害其權利而請求賠償時，乙方除應自</w:t>
            </w:r>
            <w:r>
              <w:rPr>
                <w:spacing w:val="11"/>
                <w:sz w:val="28"/>
              </w:rPr>
              <w:t>個案請求之日起</w:t>
            </w:r>
            <w:r>
              <w:rPr>
                <w:spacing w:val="80"/>
                <w:sz w:val="28"/>
                <w:u w:val="single"/>
              </w:rPr>
              <w:t> </w:t>
            </w:r>
            <w:r>
              <w:rPr>
                <w:sz w:val="28"/>
                <w:u w:val="single"/>
              </w:rPr>
              <w:t>3</w:t>
            </w:r>
            <w:r>
              <w:rPr>
                <w:spacing w:val="40"/>
                <w:sz w:val="28"/>
                <w:u w:val="single"/>
              </w:rPr>
              <w:t>  </w:t>
            </w:r>
            <w:r>
              <w:rPr>
                <w:spacing w:val="10"/>
                <w:sz w:val="28"/>
              </w:rPr>
              <w:t>日內，以書面、傳真或電子郵件方式通知甲方</w:t>
            </w:r>
            <w:r>
              <w:rPr>
                <w:sz w:val="28"/>
              </w:rPr>
              <w:t>外，並於</w:t>
            </w:r>
            <w:r>
              <w:rPr>
                <w:spacing w:val="40"/>
                <w:sz w:val="28"/>
                <w:u w:val="single"/>
              </w:rPr>
              <w:t>  </w:t>
            </w:r>
            <w:r>
              <w:rPr>
                <w:sz w:val="28"/>
                <w:u w:val="single"/>
              </w:rPr>
              <w:t>7</w:t>
            </w:r>
            <w:r>
              <w:rPr>
                <w:spacing w:val="80"/>
                <w:sz w:val="28"/>
                <w:u w:val="single"/>
              </w:rPr>
              <w:t> </w:t>
            </w:r>
            <w:r>
              <w:rPr>
                <w:sz w:val="28"/>
              </w:rPr>
              <w:t>日內與個案進行協商。</w:t>
            </w:r>
          </w:p>
          <w:p>
            <w:pPr>
              <w:pStyle w:val="TableParagraph"/>
              <w:numPr>
                <w:ilvl w:val="0"/>
                <w:numId w:val="17"/>
              </w:numPr>
              <w:tabs>
                <w:tab w:pos="1333" w:val="left" w:leader="none"/>
              </w:tabs>
              <w:spacing w:line="353" w:lineRule="exact" w:before="0" w:after="0"/>
              <w:ind w:left="1333" w:right="0" w:hanging="630"/>
              <w:jc w:val="both"/>
              <w:rPr>
                <w:sz w:val="28"/>
              </w:rPr>
            </w:pPr>
            <w:r>
              <w:rPr>
                <w:sz w:val="28"/>
              </w:rPr>
              <w:t>乙方於年度結束後30</w:t>
            </w:r>
            <w:r>
              <w:rPr>
                <w:spacing w:val="-1"/>
                <w:sz w:val="28"/>
              </w:rPr>
              <w:t>日內，函送甲方年度成果報告(內容應含個案資料</w:t>
            </w:r>
          </w:p>
          <w:p>
            <w:pPr>
              <w:pStyle w:val="TableParagraph"/>
              <w:spacing w:line="339" w:lineRule="exact" w:before="42"/>
              <w:ind w:left="112"/>
              <w:jc w:val="center"/>
              <w:rPr>
                <w:sz w:val="28"/>
              </w:rPr>
            </w:pPr>
            <w:r>
              <w:rPr>
                <w:spacing w:val="-2"/>
                <w:sz w:val="28"/>
              </w:rPr>
              <w:t>分析、服務效益、滿意度調查、照片等</w:t>
            </w:r>
            <w:r>
              <w:rPr>
                <w:spacing w:val="-140"/>
                <w:sz w:val="28"/>
              </w:rPr>
              <w:t>）</w:t>
            </w:r>
            <w:r>
              <w:rPr>
                <w:spacing w:val="-4"/>
                <w:sz w:val="28"/>
              </w:rPr>
              <w:t>，並同步傳送電子檔。</w:t>
            </w:r>
          </w:p>
        </w:tc>
      </w:tr>
      <w:tr>
        <w:trPr>
          <w:trHeight w:val="2800" w:hRule="atLeast"/>
        </w:trPr>
        <w:tc>
          <w:tcPr>
            <w:tcW w:w="10267" w:type="dxa"/>
          </w:tcPr>
          <w:p>
            <w:pPr>
              <w:pStyle w:val="TableParagraph"/>
              <w:tabs>
                <w:tab w:pos="1509" w:val="left" w:leader="none"/>
              </w:tabs>
              <w:spacing w:line="453" w:lineRule="exact"/>
              <w:ind w:left="107"/>
              <w:rPr>
                <w:rFonts w:ascii="Microsoft JhengHei" w:eastAsia="Microsoft JhengHei"/>
                <w:b/>
                <w:sz w:val="28"/>
              </w:rPr>
            </w:pPr>
            <w:r>
              <w:rPr>
                <w:rFonts w:ascii="Microsoft JhengHei" w:eastAsia="Microsoft JhengHei"/>
                <w:b/>
                <w:sz w:val="28"/>
              </w:rPr>
              <w:t>第十六</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品質監測及訓</w:t>
            </w:r>
            <w:r>
              <w:rPr>
                <w:rFonts w:ascii="Microsoft JhengHei" w:eastAsia="Microsoft JhengHei"/>
                <w:b/>
                <w:spacing w:val="-10"/>
                <w:sz w:val="28"/>
              </w:rPr>
              <w:t>練</w:t>
            </w:r>
          </w:p>
          <w:p>
            <w:pPr>
              <w:pStyle w:val="TableParagraph"/>
              <w:spacing w:line="348" w:lineRule="exact"/>
              <w:ind w:left="907"/>
              <w:rPr>
                <w:sz w:val="28"/>
              </w:rPr>
            </w:pPr>
            <w:r>
              <w:rPr>
                <w:position w:val="14"/>
                <w:sz w:val="14"/>
              </w:rPr>
              <w:t>1</w:t>
            </w:r>
            <w:r>
              <w:rPr>
                <w:spacing w:val="-1"/>
                <w:sz w:val="28"/>
              </w:rPr>
              <w:t>乙方應建立服務品質促進與督導機制，包含人員素質提升計畫、工作績效</w:t>
            </w:r>
          </w:p>
          <w:p>
            <w:pPr>
              <w:pStyle w:val="TableParagraph"/>
              <w:spacing w:line="268" w:lineRule="auto" w:before="39"/>
              <w:ind w:left="347" w:right="99"/>
              <w:rPr>
                <w:sz w:val="28"/>
              </w:rPr>
            </w:pPr>
            <w:r>
              <w:rPr>
                <w:spacing w:val="-2"/>
                <w:sz w:val="28"/>
              </w:rPr>
              <w:t>考核獎懲規定、工作與督導流程、服務結果評估策略等，並訂定服務工作流程、申訴、獎懲、契約書及工作手冊、工作倫理與守則等。</w:t>
            </w:r>
          </w:p>
          <w:p>
            <w:pPr>
              <w:pStyle w:val="TableParagraph"/>
              <w:spacing w:line="357" w:lineRule="exact"/>
              <w:ind w:left="907"/>
              <w:rPr>
                <w:sz w:val="28"/>
              </w:rPr>
            </w:pPr>
            <w:r>
              <w:rPr>
                <w:position w:val="14"/>
                <w:sz w:val="14"/>
              </w:rPr>
              <w:t>2</w:t>
            </w:r>
            <w:r>
              <w:rPr>
                <w:spacing w:val="-1"/>
                <w:sz w:val="28"/>
              </w:rPr>
              <w:t>乙方應接受甲方不定期以電話或實地抽樣訪問個案或其家屬有關接受服務</w:t>
            </w:r>
          </w:p>
          <w:p>
            <w:pPr>
              <w:pStyle w:val="TableParagraph"/>
              <w:spacing w:before="40"/>
              <w:ind w:left="347"/>
              <w:rPr>
                <w:sz w:val="28"/>
              </w:rPr>
            </w:pPr>
            <w:r>
              <w:rPr>
                <w:spacing w:val="-3"/>
                <w:sz w:val="28"/>
              </w:rPr>
              <w:t>之概況、服務次數、服務日期或滿意度等。</w:t>
            </w:r>
          </w:p>
          <w:p>
            <w:pPr>
              <w:pStyle w:val="TableParagraph"/>
              <w:spacing w:line="339" w:lineRule="exact" w:before="42"/>
              <w:ind w:left="907"/>
              <w:rPr>
                <w:sz w:val="28"/>
              </w:rPr>
            </w:pPr>
            <w:r>
              <w:rPr>
                <w:spacing w:val="-2"/>
                <w:position w:val="14"/>
                <w:sz w:val="14"/>
              </w:rPr>
              <w:t>3</w:t>
            </w:r>
            <w:r>
              <w:rPr>
                <w:spacing w:val="-3"/>
                <w:sz w:val="28"/>
              </w:rPr>
              <w:t>乙方應配合甲方通知，派員出席相關教育訓練或長照相關聯繫會議。</w:t>
            </w:r>
          </w:p>
        </w:tc>
      </w:tr>
      <w:tr>
        <w:trPr>
          <w:trHeight w:val="2001" w:hRule="atLeast"/>
        </w:trPr>
        <w:tc>
          <w:tcPr>
            <w:tcW w:w="10267" w:type="dxa"/>
          </w:tcPr>
          <w:p>
            <w:pPr>
              <w:pStyle w:val="TableParagraph"/>
              <w:tabs>
                <w:tab w:pos="1509" w:val="left" w:leader="none"/>
              </w:tabs>
              <w:spacing w:line="452" w:lineRule="exact"/>
              <w:ind w:left="107"/>
              <w:rPr>
                <w:rFonts w:ascii="Microsoft JhengHei" w:eastAsia="Microsoft JhengHei"/>
                <w:b/>
                <w:sz w:val="28"/>
              </w:rPr>
            </w:pPr>
            <w:r>
              <w:rPr>
                <w:rFonts w:ascii="Microsoft JhengHei" w:eastAsia="Microsoft JhengHei"/>
                <w:b/>
                <w:sz w:val="28"/>
              </w:rPr>
              <w:t>第十七</w:t>
            </w:r>
            <w:r>
              <w:rPr>
                <w:rFonts w:ascii="Microsoft JhengHei" w:eastAsia="Microsoft JhengHei"/>
                <w:b/>
                <w:spacing w:val="-10"/>
                <w:sz w:val="28"/>
              </w:rPr>
              <w:t>條</w:t>
            </w:r>
            <w:r>
              <w:rPr>
                <w:rFonts w:ascii="Microsoft JhengHei" w:eastAsia="Microsoft JhengHei"/>
                <w:b/>
                <w:sz w:val="28"/>
              </w:rPr>
              <w:tab/>
              <w:t>保</w:t>
            </w:r>
            <w:r>
              <w:rPr>
                <w:rFonts w:ascii="Microsoft JhengHei" w:eastAsia="Microsoft JhengHei"/>
                <w:b/>
                <w:spacing w:val="-10"/>
                <w:sz w:val="28"/>
              </w:rPr>
              <w:t>險</w:t>
            </w:r>
          </w:p>
          <w:p>
            <w:pPr>
              <w:pStyle w:val="TableParagraph"/>
              <w:spacing w:line="347" w:lineRule="exact"/>
              <w:ind w:left="0" w:right="102"/>
              <w:jc w:val="right"/>
              <w:rPr>
                <w:sz w:val="28"/>
              </w:rPr>
            </w:pPr>
            <w:r>
              <w:rPr>
                <w:position w:val="14"/>
                <w:sz w:val="14"/>
              </w:rPr>
              <w:t>1</w:t>
            </w:r>
            <w:r>
              <w:rPr>
                <w:spacing w:val="-1"/>
                <w:sz w:val="28"/>
              </w:rPr>
              <w:t>乙方應於履約期間，為免其聘僱之工作人員於執行職務時發生意外事故遭</w:t>
            </w:r>
          </w:p>
          <w:p>
            <w:pPr>
              <w:pStyle w:val="TableParagraph"/>
              <w:spacing w:before="42"/>
              <w:ind w:left="0" w:right="95"/>
              <w:jc w:val="right"/>
              <w:rPr>
                <w:sz w:val="28"/>
              </w:rPr>
            </w:pPr>
            <w:r>
              <w:rPr>
                <w:spacing w:val="-1"/>
                <w:sz w:val="28"/>
              </w:rPr>
              <w:t>受體傷或死亡，並依法致乙方負賠償責任者，辦理商業保險任險(如雇主意外責</w:t>
            </w:r>
          </w:p>
          <w:p>
            <w:pPr>
              <w:pStyle w:val="TableParagraph"/>
              <w:spacing w:line="400" w:lineRule="atLeast"/>
              <w:ind w:left="347" w:right="98"/>
              <w:jc w:val="right"/>
              <w:rPr>
                <w:sz w:val="28"/>
              </w:rPr>
            </w:pPr>
            <w:r>
              <w:rPr>
                <w:spacing w:val="-2"/>
                <w:sz w:val="28"/>
              </w:rPr>
              <w:t>任險、業主補償契約責任保險等)。但乙方無聘僱工作人員並經甲方檢視員工名</w:t>
            </w:r>
            <w:r>
              <w:rPr>
                <w:spacing w:val="-3"/>
                <w:sz w:val="28"/>
              </w:rPr>
              <w:t>冊者，得不適用前述規定。提供家庭托顧、日間照顧、小規模多機能服務者，應</w:t>
            </w:r>
          </w:p>
        </w:tc>
      </w:tr>
    </w:tbl>
    <w:p>
      <w:pPr>
        <w:rPr>
          <w:sz w:val="2"/>
          <w:szCs w:val="2"/>
        </w:rPr>
      </w:pPr>
      <w:r>
        <w:rPr>
          <w:sz w:val="2"/>
          <w:szCs w:val="2"/>
        </w:rPr>
        <mc:AlternateContent>
          <mc:Choice Requires="wps">
            <w:drawing>
              <wp:anchor distT="0" distB="0" distL="0" distR="0" allowOverlap="1" layoutInCell="1" locked="0" behindDoc="1" simplePos="0" relativeHeight="487169536">
                <wp:simplePos x="0" y="0"/>
                <wp:positionH relativeFrom="page">
                  <wp:posOffset>5426709</wp:posOffset>
                </wp:positionH>
                <wp:positionV relativeFrom="page">
                  <wp:posOffset>8634729</wp:posOffset>
                </wp:positionV>
                <wp:extent cx="2125345" cy="2054225"/>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2125345" cy="2054225"/>
                          <a:chExt cx="2125345" cy="2054225"/>
                        </a:xfrm>
                      </wpg:grpSpPr>
                      <wps:wsp>
                        <wps:cNvPr id="36" name="Graphic 36"/>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37" name="Textbox 37"/>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12</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6944" id="docshapegroup35" coordorigin="8546,13598" coordsize="3347,3235">
                <v:shape style="position:absolute;left:8546;top:13598;width:3347;height:3235" id="docshape36" coordorigin="8546,13598" coordsize="3347,3235" path="m11893,13598l8546,16833,11893,16833,11893,13598xe" filled="true" fillcolor="#d2eaf0" stroked="false">
                  <v:path arrowok="t"/>
                  <v:fill type="solid"/>
                </v:shape>
                <v:shape style="position:absolute;left:8546;top:13598;width:3347;height:3235" type="#_x0000_t202" id="docshape37"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12</w:t>
                        </w:r>
                      </w:p>
                    </w:txbxContent>
                  </v:textbox>
                  <w10:wrap type="none"/>
                </v:shape>
                <w10:wrap type="none"/>
              </v:group>
            </w:pict>
          </mc:Fallback>
        </mc:AlternateContent>
      </w:r>
    </w:p>
    <w:p>
      <w:pPr>
        <w:spacing w:after="0"/>
        <w:rPr>
          <w:sz w:val="2"/>
          <w:szCs w:val="2"/>
        </w:rPr>
        <w:sectPr>
          <w:type w:val="continuous"/>
          <w:pgSz w:w="11910" w:h="16840"/>
          <w:pgMar w:header="882" w:footer="0" w:top="1120" w:bottom="1467"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3201" w:hRule="atLeast"/>
        </w:trPr>
        <w:tc>
          <w:tcPr>
            <w:tcW w:w="10267" w:type="dxa"/>
          </w:tcPr>
          <w:p>
            <w:pPr>
              <w:pStyle w:val="TableParagraph"/>
              <w:spacing w:line="268" w:lineRule="auto" w:before="42"/>
              <w:ind w:left="347" w:right="99"/>
              <w:rPr>
                <w:sz w:val="28"/>
              </w:rPr>
            </w:pPr>
            <w:r>
              <w:rPr>
                <w:spacing w:val="-2"/>
                <w:sz w:val="28"/>
              </w:rPr>
              <w:t>辦理公共意外責任險；其屬自然人者，得自行另投保人身意外險。上開保險費費用不得轉嫁由所聘工作人員負擔。</w:t>
            </w:r>
          </w:p>
          <w:p>
            <w:pPr>
              <w:pStyle w:val="TableParagraph"/>
              <w:spacing w:line="354" w:lineRule="exact"/>
              <w:rPr>
                <w:sz w:val="28"/>
              </w:rPr>
            </w:pPr>
            <w:r>
              <w:rPr>
                <w:position w:val="14"/>
                <w:sz w:val="14"/>
              </w:rPr>
              <w:t>2</w:t>
            </w:r>
            <w:r>
              <w:rPr>
                <w:spacing w:val="-1"/>
                <w:sz w:val="28"/>
              </w:rPr>
              <w:t>乙方如為合作社且所設置之長照人員屬乙方非具雇傭關係之社員，應為其</w:t>
            </w:r>
          </w:p>
          <w:p>
            <w:pPr>
              <w:pStyle w:val="TableParagraph"/>
              <w:spacing w:line="268" w:lineRule="auto" w:before="42"/>
              <w:ind w:left="347" w:right="99"/>
              <w:rPr>
                <w:sz w:val="28"/>
              </w:rPr>
            </w:pPr>
            <w:r>
              <w:rPr>
                <w:spacing w:val="-2"/>
                <w:sz w:val="28"/>
              </w:rPr>
              <w:t>長照人員投保團體意外險，保障內容應包含傷害、失能及死亡等項目。其保障不得低於以相同報酬參加職業災害保險者。</w:t>
            </w:r>
          </w:p>
          <w:p>
            <w:pPr>
              <w:pStyle w:val="TableParagraph"/>
              <w:spacing w:line="354" w:lineRule="exact"/>
              <w:ind w:left="907"/>
              <w:rPr>
                <w:sz w:val="28"/>
              </w:rPr>
            </w:pPr>
            <w:r>
              <w:rPr>
                <w:position w:val="14"/>
                <w:sz w:val="14"/>
              </w:rPr>
              <w:t>3</w:t>
            </w:r>
            <w:r>
              <w:rPr>
                <w:spacing w:val="-1"/>
                <w:sz w:val="28"/>
              </w:rPr>
              <w:t>乙方應依法為其員工投保勞工保險、勞工職業災害保險、就業保險、全民</w:t>
            </w:r>
          </w:p>
          <w:p>
            <w:pPr>
              <w:pStyle w:val="TableParagraph"/>
              <w:spacing w:line="400" w:lineRule="atLeast"/>
              <w:ind w:left="347" w:right="99"/>
              <w:rPr>
                <w:sz w:val="28"/>
              </w:rPr>
            </w:pPr>
            <w:r>
              <w:rPr>
                <w:spacing w:val="-2"/>
                <w:sz w:val="28"/>
              </w:rPr>
              <w:t>健康保險。依法屬勞工保險自願加保對象者，得自願參加勞工保險或以其他商業保險代之。</w:t>
            </w:r>
          </w:p>
        </w:tc>
      </w:tr>
      <w:tr>
        <w:trPr>
          <w:trHeight w:val="6799" w:hRule="atLeast"/>
        </w:trPr>
        <w:tc>
          <w:tcPr>
            <w:tcW w:w="10267" w:type="dxa"/>
          </w:tcPr>
          <w:p>
            <w:pPr>
              <w:pStyle w:val="TableParagraph"/>
              <w:spacing w:line="452" w:lineRule="exact"/>
              <w:ind w:left="107"/>
              <w:rPr>
                <w:rFonts w:ascii="Microsoft JhengHei" w:eastAsia="Microsoft JhengHei"/>
                <w:b/>
                <w:sz w:val="28"/>
              </w:rPr>
            </w:pPr>
            <w:r>
              <w:rPr>
                <w:rFonts w:ascii="Microsoft JhengHei" w:eastAsia="Microsoft JhengHei"/>
                <w:b/>
                <w:spacing w:val="5"/>
                <w:sz w:val="28"/>
              </w:rPr>
              <w:t>第十八條 契約變更</w:t>
            </w:r>
          </w:p>
          <w:p>
            <w:pPr>
              <w:pStyle w:val="TableParagraph"/>
              <w:spacing w:line="347" w:lineRule="exact"/>
              <w:ind w:left="907"/>
              <w:rPr>
                <w:sz w:val="28"/>
              </w:rPr>
            </w:pPr>
            <w:r>
              <w:rPr>
                <w:position w:val="14"/>
                <w:sz w:val="14"/>
              </w:rPr>
              <w:t>1</w:t>
            </w:r>
            <w:r>
              <w:rPr>
                <w:spacing w:val="-1"/>
                <w:sz w:val="28"/>
              </w:rPr>
              <w:t>甲方於必要時，得於契約所約定之範圍內通知乙方變更契約。乙方於接獲</w:t>
            </w:r>
          </w:p>
          <w:p>
            <w:pPr>
              <w:pStyle w:val="TableParagraph"/>
              <w:spacing w:before="42"/>
              <w:ind w:left="347"/>
              <w:rPr>
                <w:sz w:val="28"/>
              </w:rPr>
            </w:pPr>
            <w:r>
              <w:rPr>
                <w:spacing w:val="-3"/>
                <w:sz w:val="28"/>
              </w:rPr>
              <w:t>通知後，應向甲方提出履約標的、履約期限或其他契約內容變更之相關文件。</w:t>
            </w:r>
          </w:p>
          <w:p>
            <w:pPr>
              <w:pStyle w:val="TableParagraph"/>
              <w:spacing w:before="42"/>
              <w:ind w:left="907"/>
              <w:rPr>
                <w:sz w:val="28"/>
              </w:rPr>
            </w:pPr>
            <w:r>
              <w:rPr>
                <w:position w:val="14"/>
                <w:sz w:val="14"/>
              </w:rPr>
              <w:t>2</w:t>
            </w:r>
            <w:r>
              <w:rPr>
                <w:spacing w:val="-1"/>
                <w:sz w:val="28"/>
              </w:rPr>
              <w:t>於甲方接受乙方所提出契約內容變更之相關文件前，乙方不得自行變更契</w:t>
            </w:r>
          </w:p>
          <w:p>
            <w:pPr>
              <w:pStyle w:val="TableParagraph"/>
              <w:spacing w:before="39"/>
              <w:ind w:left="347"/>
              <w:rPr>
                <w:sz w:val="28"/>
              </w:rPr>
            </w:pPr>
            <w:r>
              <w:rPr>
                <w:spacing w:val="-3"/>
                <w:sz w:val="28"/>
              </w:rPr>
              <w:t>約。除甲方另有請求者外，乙方不得因前款之通知而遲延履約。</w:t>
            </w:r>
          </w:p>
          <w:p>
            <w:pPr>
              <w:pStyle w:val="TableParagraph"/>
              <w:spacing w:line="268" w:lineRule="auto" w:before="42"/>
              <w:ind w:left="347" w:right="104" w:firstLine="559"/>
              <w:rPr>
                <w:sz w:val="28"/>
              </w:rPr>
            </w:pPr>
            <w:r>
              <w:rPr>
                <w:position w:val="14"/>
                <w:sz w:val="14"/>
              </w:rPr>
              <w:t>3</w:t>
            </w:r>
            <w:r>
              <w:rPr>
                <w:spacing w:val="-56"/>
                <w:position w:val="14"/>
                <w:sz w:val="14"/>
              </w:rPr>
              <w:t> </w:t>
            </w:r>
            <w:r>
              <w:rPr>
                <w:spacing w:val="13"/>
                <w:sz w:val="28"/>
              </w:rPr>
              <w:t>契約之變更，非經甲方及乙方雙方合意，作成書面紀錄，並簽名或蓋章</w:t>
            </w:r>
            <w:r>
              <w:rPr>
                <w:spacing w:val="-2"/>
                <w:sz w:val="28"/>
              </w:rPr>
              <w:t>者，無效。</w:t>
            </w:r>
          </w:p>
          <w:p>
            <w:pPr>
              <w:pStyle w:val="TableParagraph"/>
              <w:spacing w:line="354" w:lineRule="exact"/>
              <w:ind w:left="907"/>
              <w:rPr>
                <w:sz w:val="28"/>
              </w:rPr>
            </w:pPr>
            <w:r>
              <w:rPr>
                <w:position w:val="14"/>
                <w:sz w:val="14"/>
              </w:rPr>
              <w:t>4</w:t>
            </w:r>
            <w:r>
              <w:rPr>
                <w:spacing w:val="-1"/>
                <w:sz w:val="28"/>
              </w:rPr>
              <w:t>有下列情形之一者，乙方或甲方得於情事發生後三十日內，以書面提出變</w:t>
            </w:r>
          </w:p>
          <w:p>
            <w:pPr>
              <w:pStyle w:val="TableParagraph"/>
              <w:spacing w:before="43"/>
              <w:ind w:left="347"/>
              <w:rPr>
                <w:sz w:val="28"/>
              </w:rPr>
            </w:pPr>
            <w:r>
              <w:rPr>
                <w:spacing w:val="-4"/>
                <w:sz w:val="28"/>
              </w:rPr>
              <w:t>更契約之請求：</w:t>
            </w:r>
          </w:p>
          <w:p>
            <w:pPr>
              <w:pStyle w:val="TableParagraph"/>
              <w:numPr>
                <w:ilvl w:val="0"/>
                <w:numId w:val="18"/>
              </w:numPr>
              <w:tabs>
                <w:tab w:pos="1275" w:val="left" w:leader="none"/>
              </w:tabs>
              <w:spacing w:line="240" w:lineRule="auto" w:before="42" w:after="0"/>
              <w:ind w:left="1275" w:right="0" w:hanging="565"/>
              <w:jc w:val="left"/>
              <w:rPr>
                <w:sz w:val="28"/>
              </w:rPr>
            </w:pPr>
            <w:r>
              <w:rPr>
                <w:spacing w:val="-4"/>
                <w:sz w:val="28"/>
              </w:rPr>
              <w:t>適用法令有變更。</w:t>
            </w:r>
          </w:p>
          <w:p>
            <w:pPr>
              <w:pStyle w:val="TableParagraph"/>
              <w:numPr>
                <w:ilvl w:val="0"/>
                <w:numId w:val="18"/>
              </w:numPr>
              <w:tabs>
                <w:tab w:pos="1275" w:val="left" w:leader="none"/>
              </w:tabs>
              <w:spacing w:line="240" w:lineRule="auto" w:before="40" w:after="0"/>
              <w:ind w:left="1275" w:right="0" w:hanging="565"/>
              <w:jc w:val="left"/>
              <w:rPr>
                <w:sz w:val="28"/>
              </w:rPr>
            </w:pPr>
            <w:r>
              <w:rPr>
                <w:spacing w:val="-3"/>
                <w:sz w:val="28"/>
              </w:rPr>
              <w:t>年度預算異動致影響本契約之執行。</w:t>
            </w:r>
          </w:p>
          <w:p>
            <w:pPr>
              <w:pStyle w:val="TableParagraph"/>
              <w:numPr>
                <w:ilvl w:val="0"/>
                <w:numId w:val="18"/>
              </w:numPr>
              <w:tabs>
                <w:tab w:pos="1275" w:val="left" w:leader="none"/>
              </w:tabs>
              <w:spacing w:line="240" w:lineRule="auto" w:before="42" w:after="0"/>
              <w:ind w:left="1275" w:right="0" w:hanging="565"/>
              <w:jc w:val="left"/>
              <w:rPr>
                <w:sz w:val="28"/>
              </w:rPr>
            </w:pPr>
            <w:r>
              <w:rPr>
                <w:spacing w:val="-3"/>
                <w:sz w:val="28"/>
              </w:rPr>
              <w:t>其他不可抗力事由致影響本契約之執行。</w:t>
            </w:r>
          </w:p>
          <w:p>
            <w:pPr>
              <w:pStyle w:val="TableParagraph"/>
              <w:spacing w:before="42"/>
              <w:ind w:left="907"/>
              <w:rPr>
                <w:sz w:val="28"/>
              </w:rPr>
            </w:pPr>
            <w:r>
              <w:rPr>
                <w:position w:val="14"/>
                <w:sz w:val="14"/>
              </w:rPr>
              <w:t>5</w:t>
            </w:r>
            <w:r>
              <w:rPr>
                <w:spacing w:val="-1"/>
                <w:sz w:val="28"/>
              </w:rPr>
              <w:t>甲方或乙方應於接到他方請求變更契約之次日起三十日內，以書面回覆是</w:t>
            </w:r>
          </w:p>
          <w:p>
            <w:pPr>
              <w:pStyle w:val="TableParagraph"/>
              <w:spacing w:before="39"/>
              <w:ind w:left="347"/>
              <w:rPr>
                <w:sz w:val="28"/>
              </w:rPr>
            </w:pPr>
            <w:r>
              <w:rPr>
                <w:spacing w:val="-3"/>
                <w:sz w:val="28"/>
              </w:rPr>
              <w:t>否同意；逾期未回覆者，他方得終止契約。</w:t>
            </w:r>
          </w:p>
          <w:p>
            <w:pPr>
              <w:pStyle w:val="TableParagraph"/>
              <w:spacing w:before="42"/>
              <w:ind w:left="907"/>
              <w:rPr>
                <w:sz w:val="28"/>
              </w:rPr>
            </w:pPr>
            <w:r>
              <w:rPr>
                <w:position w:val="14"/>
                <w:sz w:val="14"/>
              </w:rPr>
              <w:t>6</w:t>
            </w:r>
            <w:r>
              <w:rPr>
                <w:spacing w:val="-1"/>
                <w:sz w:val="28"/>
              </w:rPr>
              <w:t>乙方設立或登記事項有變更者，應依特管辦法第十九條第一項規定，於完</w:t>
            </w:r>
          </w:p>
          <w:p>
            <w:pPr>
              <w:pStyle w:val="TableParagraph"/>
              <w:spacing w:line="400" w:lineRule="atLeast"/>
              <w:ind w:left="347" w:right="99"/>
              <w:rPr>
                <w:sz w:val="28"/>
              </w:rPr>
            </w:pPr>
            <w:r>
              <w:rPr>
                <w:spacing w:val="-2"/>
                <w:sz w:val="28"/>
              </w:rPr>
              <w:t>成變更登記之次日起十日內向甲方申請契約變更。甲方應自申請之次日起三十日內完成審核。</w:t>
            </w:r>
          </w:p>
        </w:tc>
      </w:tr>
      <w:tr>
        <w:trPr>
          <w:trHeight w:val="3602" w:hRule="atLeast"/>
        </w:trPr>
        <w:tc>
          <w:tcPr>
            <w:tcW w:w="10267" w:type="dxa"/>
          </w:tcPr>
          <w:p>
            <w:pPr>
              <w:pStyle w:val="TableParagraph"/>
              <w:tabs>
                <w:tab w:pos="1509" w:val="left" w:leader="none"/>
              </w:tabs>
              <w:spacing w:line="453" w:lineRule="exact"/>
              <w:ind w:left="107"/>
              <w:rPr>
                <w:rFonts w:ascii="Microsoft JhengHei" w:eastAsia="Microsoft JhengHei"/>
                <w:b/>
                <w:sz w:val="28"/>
              </w:rPr>
            </w:pPr>
            <w:r>
              <w:rPr>
                <w:rFonts w:ascii="Microsoft JhengHei" w:eastAsia="Microsoft JhengHei"/>
                <w:b/>
                <w:sz w:val="28"/>
              </w:rPr>
              <w:t>第十九</w:t>
            </w:r>
            <w:r>
              <w:rPr>
                <w:rFonts w:ascii="Microsoft JhengHei" w:eastAsia="Microsoft JhengHei"/>
                <w:b/>
                <w:spacing w:val="-10"/>
                <w:sz w:val="28"/>
              </w:rPr>
              <w:t>條</w:t>
            </w:r>
            <w:r>
              <w:rPr>
                <w:rFonts w:ascii="Microsoft JhengHei" w:eastAsia="Microsoft JhengHei"/>
                <w:b/>
                <w:sz w:val="28"/>
              </w:rPr>
              <w:tab/>
              <w:t>乙方</w:t>
            </w:r>
            <w:r>
              <w:rPr>
                <w:rFonts w:ascii="Georgia" w:eastAsia="Georgia"/>
                <w:b/>
                <w:sz w:val="28"/>
              </w:rPr>
              <w:t>(</w:t>
            </w:r>
            <w:r>
              <w:rPr>
                <w:rFonts w:ascii="Microsoft JhengHei" w:eastAsia="Microsoft JhengHei"/>
                <w:b/>
                <w:sz w:val="28"/>
              </w:rPr>
              <w:t>長照特約單位</w:t>
            </w:r>
            <w:r>
              <w:rPr>
                <w:rFonts w:ascii="Georgia" w:eastAsia="Georgia"/>
                <w:b/>
                <w:sz w:val="28"/>
              </w:rPr>
              <w:t>)</w:t>
            </w:r>
            <w:r>
              <w:rPr>
                <w:rFonts w:ascii="Microsoft JhengHei" w:eastAsia="Microsoft JhengHei"/>
                <w:b/>
                <w:sz w:val="28"/>
              </w:rPr>
              <w:t>違約記點之事</w:t>
            </w:r>
            <w:r>
              <w:rPr>
                <w:rFonts w:ascii="Microsoft JhengHei" w:eastAsia="Microsoft JhengHei"/>
                <w:b/>
                <w:spacing w:val="-10"/>
                <w:sz w:val="28"/>
              </w:rPr>
              <w:t>由</w:t>
            </w:r>
          </w:p>
          <w:p>
            <w:pPr>
              <w:pStyle w:val="TableParagraph"/>
              <w:spacing w:line="348" w:lineRule="exact"/>
              <w:rPr>
                <w:sz w:val="28"/>
              </w:rPr>
            </w:pPr>
            <w:r>
              <w:rPr>
                <w:position w:val="14"/>
                <w:sz w:val="14"/>
              </w:rPr>
              <w:t>1</w:t>
            </w:r>
            <w:r>
              <w:rPr>
                <w:spacing w:val="-1"/>
                <w:sz w:val="28"/>
              </w:rPr>
              <w:t>乙方為長照特約單位，於特約期間有下列情形之一者，為違反長照服務給</w:t>
            </w:r>
          </w:p>
          <w:p>
            <w:pPr>
              <w:pStyle w:val="TableParagraph"/>
              <w:spacing w:before="39"/>
              <w:ind w:left="347"/>
              <w:rPr>
                <w:sz w:val="28"/>
              </w:rPr>
            </w:pPr>
            <w:r>
              <w:rPr>
                <w:spacing w:val="-3"/>
                <w:sz w:val="28"/>
              </w:rPr>
              <w:t>付項目特約事項，予以違約記點一點：</w:t>
            </w:r>
          </w:p>
          <w:p>
            <w:pPr>
              <w:pStyle w:val="TableParagraph"/>
              <w:numPr>
                <w:ilvl w:val="0"/>
                <w:numId w:val="19"/>
              </w:numPr>
              <w:tabs>
                <w:tab w:pos="1275" w:val="left" w:leader="none"/>
                <w:tab w:pos="1277" w:val="left" w:leader="none"/>
              </w:tabs>
              <w:spacing w:line="268" w:lineRule="auto" w:before="42" w:after="0"/>
              <w:ind w:left="1277" w:right="160" w:hanging="567"/>
              <w:jc w:val="left"/>
              <w:rPr>
                <w:sz w:val="28"/>
              </w:rPr>
            </w:pPr>
            <w:r>
              <w:rPr>
                <w:spacing w:val="-2"/>
                <w:sz w:val="28"/>
              </w:rPr>
              <w:t>違反本法第八條之一第三項規定，減免個案部分負擔費用，經依本法第四十九條第一項規定處罰。</w:t>
            </w:r>
          </w:p>
          <w:p>
            <w:pPr>
              <w:pStyle w:val="TableParagraph"/>
              <w:numPr>
                <w:ilvl w:val="0"/>
                <w:numId w:val="19"/>
              </w:numPr>
              <w:tabs>
                <w:tab w:pos="1275" w:val="left" w:leader="none"/>
              </w:tabs>
              <w:spacing w:line="354" w:lineRule="exact" w:before="0" w:after="0"/>
              <w:ind w:left="1275" w:right="0" w:hanging="565"/>
              <w:jc w:val="left"/>
              <w:rPr>
                <w:sz w:val="28"/>
              </w:rPr>
            </w:pPr>
            <w:r>
              <w:rPr>
                <w:spacing w:val="-3"/>
                <w:sz w:val="28"/>
              </w:rPr>
              <w:t>違反本法第三十二條之二規定，經依各該法律規定處罰。</w:t>
            </w:r>
          </w:p>
          <w:p>
            <w:pPr>
              <w:pStyle w:val="TableParagraph"/>
              <w:numPr>
                <w:ilvl w:val="0"/>
                <w:numId w:val="19"/>
              </w:numPr>
              <w:tabs>
                <w:tab w:pos="1275" w:val="left" w:leader="none"/>
                <w:tab w:pos="1277" w:val="left" w:leader="none"/>
              </w:tabs>
              <w:spacing w:line="268" w:lineRule="auto" w:before="42" w:after="0"/>
              <w:ind w:left="1277" w:right="154" w:hanging="567"/>
              <w:jc w:val="left"/>
              <w:rPr>
                <w:sz w:val="28"/>
              </w:rPr>
            </w:pPr>
            <w:r>
              <w:rPr>
                <w:sz w:val="28"/>
              </w:rPr>
              <w:t>違反長照人員訓練辦法第十九條之一第一項規定，拒絕照顧服務人員支</w:t>
            </w:r>
            <w:r>
              <w:rPr>
                <w:spacing w:val="-2"/>
                <w:sz w:val="28"/>
              </w:rPr>
              <w:t>援之請求。</w:t>
            </w:r>
          </w:p>
          <w:p>
            <w:pPr>
              <w:pStyle w:val="TableParagraph"/>
              <w:numPr>
                <w:ilvl w:val="0"/>
                <w:numId w:val="19"/>
              </w:numPr>
              <w:tabs>
                <w:tab w:pos="1275" w:val="left" w:leader="none"/>
              </w:tabs>
              <w:spacing w:line="337" w:lineRule="exact" w:before="0" w:after="0"/>
              <w:ind w:left="1275" w:right="0" w:hanging="565"/>
              <w:jc w:val="left"/>
              <w:rPr>
                <w:sz w:val="28"/>
              </w:rPr>
            </w:pPr>
            <w:r>
              <w:rPr>
                <w:spacing w:val="-1"/>
                <w:sz w:val="28"/>
              </w:rPr>
              <w:t>違反特管辦法第四條第二項核定之照顧計畫申請支付服務費用，經令其</w:t>
            </w:r>
          </w:p>
        </w:tc>
      </w:tr>
    </w:tbl>
    <w:p>
      <w:pPr>
        <w:rPr>
          <w:sz w:val="2"/>
          <w:szCs w:val="2"/>
        </w:rPr>
      </w:pPr>
      <w:r>
        <w:rPr>
          <w:sz w:val="2"/>
          <w:szCs w:val="2"/>
        </w:rPr>
        <mc:AlternateContent>
          <mc:Choice Requires="wps">
            <w:drawing>
              <wp:anchor distT="0" distB="0" distL="0" distR="0" allowOverlap="1" layoutInCell="1" locked="0" behindDoc="1" simplePos="0" relativeHeight="487170048">
                <wp:simplePos x="0" y="0"/>
                <wp:positionH relativeFrom="page">
                  <wp:posOffset>5426709</wp:posOffset>
                </wp:positionH>
                <wp:positionV relativeFrom="page">
                  <wp:posOffset>8634729</wp:posOffset>
                </wp:positionV>
                <wp:extent cx="2125345" cy="2054225"/>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2125345" cy="2054225"/>
                          <a:chExt cx="2125345" cy="2054225"/>
                        </a:xfrm>
                      </wpg:grpSpPr>
                      <wps:wsp>
                        <wps:cNvPr id="39" name="Graphic 39"/>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40" name="Textbox 40"/>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13</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6432" id="docshapegroup38" coordorigin="8546,13598" coordsize="3347,3235">
                <v:shape style="position:absolute;left:8546;top:13598;width:3347;height:3235" id="docshape39" coordorigin="8546,13598" coordsize="3347,3235" path="m11893,13598l8546,16833,11893,16833,11893,13598xe" filled="true" fillcolor="#d2eaf0" stroked="false">
                  <v:path arrowok="t"/>
                  <v:fill type="solid"/>
                </v:shape>
                <v:shape style="position:absolute;left:8546;top:13598;width:3347;height:3235" type="#_x0000_t202" id="docshape40"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13</w:t>
                        </w:r>
                      </w:p>
                    </w:txbxContent>
                  </v:textbox>
                  <w10:wrap type="none"/>
                </v:shape>
                <w10:wrap type="none"/>
              </v:group>
            </w:pict>
          </mc:Fallback>
        </mc:AlternateContent>
      </w:r>
    </w:p>
    <w:p>
      <w:pPr>
        <w:spacing w:after="0"/>
        <w:rPr>
          <w:sz w:val="2"/>
          <w:szCs w:val="2"/>
        </w:rPr>
        <w:sectPr>
          <w:type w:val="continuous"/>
          <w:pgSz w:w="11910" w:h="16840"/>
          <w:pgMar w:header="882" w:footer="0" w:top="1120" w:bottom="1467"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2402" w:hRule="atLeast"/>
        </w:trPr>
        <w:tc>
          <w:tcPr>
            <w:tcW w:w="10267" w:type="dxa"/>
          </w:tcPr>
          <w:p>
            <w:pPr>
              <w:pStyle w:val="TableParagraph"/>
              <w:spacing w:before="42"/>
              <w:ind w:left="1277"/>
              <w:rPr>
                <w:sz w:val="28"/>
              </w:rPr>
            </w:pPr>
            <w:r>
              <w:rPr>
                <w:spacing w:val="-3"/>
                <w:sz w:val="28"/>
              </w:rPr>
              <w:t>限期改善而屆期未改善。</w:t>
            </w:r>
          </w:p>
          <w:p>
            <w:pPr>
              <w:pStyle w:val="TableParagraph"/>
              <w:numPr>
                <w:ilvl w:val="0"/>
                <w:numId w:val="20"/>
              </w:numPr>
              <w:tabs>
                <w:tab w:pos="1275" w:val="left" w:leader="none"/>
                <w:tab w:pos="1277" w:val="left" w:leader="none"/>
              </w:tabs>
              <w:spacing w:line="266" w:lineRule="auto" w:before="42" w:after="0"/>
              <w:ind w:left="1277" w:right="160" w:hanging="567"/>
              <w:jc w:val="left"/>
              <w:rPr>
                <w:sz w:val="28"/>
              </w:rPr>
            </w:pPr>
            <w:r>
              <w:rPr>
                <w:spacing w:val="-2"/>
                <w:sz w:val="28"/>
              </w:rPr>
              <w:t>違反特管辦法第十三條規定，接受派案後無正當理由且未於期限內回復社區整合型服務中心或甲方處理情形。</w:t>
            </w:r>
          </w:p>
          <w:p>
            <w:pPr>
              <w:pStyle w:val="TableParagraph"/>
              <w:numPr>
                <w:ilvl w:val="0"/>
                <w:numId w:val="20"/>
              </w:numPr>
              <w:tabs>
                <w:tab w:pos="1275" w:val="left" w:leader="none"/>
                <w:tab w:pos="1277" w:val="left" w:leader="none"/>
              </w:tabs>
              <w:spacing w:line="266" w:lineRule="auto" w:before="2" w:after="0"/>
              <w:ind w:left="1277" w:right="160" w:hanging="567"/>
              <w:jc w:val="both"/>
              <w:rPr>
                <w:sz w:val="28"/>
              </w:rPr>
            </w:pPr>
            <w:r>
              <w:rPr>
                <w:spacing w:val="-2"/>
                <w:sz w:val="28"/>
              </w:rPr>
              <w:t>違反特管辦法第十四條第一項規定，未與個案、家屬或費用支付者簽訂書面契約或其內容、格式違反本法第四十二條第二項之應記載及不得記載之事項。</w:t>
            </w:r>
          </w:p>
          <w:p>
            <w:pPr>
              <w:pStyle w:val="TableParagraph"/>
              <w:numPr>
                <w:ilvl w:val="0"/>
                <w:numId w:val="20"/>
              </w:numPr>
              <w:tabs>
                <w:tab w:pos="1275" w:val="left" w:leader="none"/>
                <w:tab w:pos="1277" w:val="left" w:leader="none"/>
              </w:tabs>
              <w:spacing w:line="268" w:lineRule="auto" w:before="6" w:after="0"/>
              <w:ind w:left="1277" w:right="160" w:hanging="567"/>
              <w:jc w:val="left"/>
              <w:rPr>
                <w:sz w:val="28"/>
              </w:rPr>
            </w:pPr>
            <w:r>
              <w:rPr>
                <w:spacing w:val="-2"/>
                <w:sz w:val="28"/>
              </w:rPr>
              <w:t>違反特管辦法第十五條第一項或第二項第一款規定，未依限通報社區整合型服務中心或甲方。</w:t>
            </w:r>
          </w:p>
          <w:p>
            <w:pPr>
              <w:pStyle w:val="TableParagraph"/>
              <w:numPr>
                <w:ilvl w:val="0"/>
                <w:numId w:val="20"/>
              </w:numPr>
              <w:tabs>
                <w:tab w:pos="1275" w:val="left" w:leader="none"/>
                <w:tab w:pos="1277" w:val="left" w:leader="none"/>
              </w:tabs>
              <w:spacing w:line="268" w:lineRule="auto" w:before="0" w:after="0"/>
              <w:ind w:left="1277" w:right="160" w:hanging="567"/>
              <w:jc w:val="left"/>
              <w:rPr>
                <w:sz w:val="28"/>
              </w:rPr>
            </w:pPr>
            <w:r>
              <w:rPr>
                <w:spacing w:val="-2"/>
                <w:sz w:val="28"/>
              </w:rPr>
              <w:t>違反特管辦法第十六條規定，未開給收據或未以附件載明相關事項，經令其限期改善而屆期未改善。</w:t>
            </w:r>
          </w:p>
          <w:p>
            <w:pPr>
              <w:pStyle w:val="TableParagraph"/>
              <w:numPr>
                <w:ilvl w:val="0"/>
                <w:numId w:val="20"/>
              </w:numPr>
              <w:tabs>
                <w:tab w:pos="1275" w:val="left" w:leader="none"/>
                <w:tab w:pos="1277" w:val="left" w:leader="none"/>
              </w:tabs>
              <w:spacing w:line="266" w:lineRule="auto" w:before="0" w:after="0"/>
              <w:ind w:left="1277" w:right="160" w:hanging="567"/>
              <w:jc w:val="left"/>
              <w:rPr>
                <w:sz w:val="28"/>
              </w:rPr>
            </w:pPr>
            <w:r>
              <w:rPr>
                <w:spacing w:val="-2"/>
                <w:sz w:val="28"/>
              </w:rPr>
              <w:t>違反特管辦法第十七條規定，未製作紀錄、未依限保存、未移交保存或製作紀錄虛偽不實，經令其限期改善而屆期未改善。</w:t>
            </w:r>
          </w:p>
          <w:p>
            <w:pPr>
              <w:pStyle w:val="TableParagraph"/>
              <w:numPr>
                <w:ilvl w:val="0"/>
                <w:numId w:val="20"/>
              </w:numPr>
              <w:tabs>
                <w:tab w:pos="1275" w:val="left" w:leader="none"/>
                <w:tab w:pos="1277" w:val="left" w:leader="none"/>
              </w:tabs>
              <w:spacing w:line="266" w:lineRule="auto" w:before="0" w:after="0"/>
              <w:ind w:left="1277" w:right="160" w:hanging="567"/>
              <w:jc w:val="both"/>
              <w:rPr>
                <w:sz w:val="28"/>
              </w:rPr>
            </w:pPr>
            <w:r>
              <w:rPr>
                <w:spacing w:val="-2"/>
                <w:sz w:val="28"/>
              </w:rPr>
              <w:t>違反特管辦法第十八條規定，未依限登載、服務資訊登載不實或實際提供服務之服務人員與登載於照管系統不符，經令其限期改善而屆期未改</w:t>
            </w:r>
            <w:r>
              <w:rPr>
                <w:spacing w:val="-6"/>
                <w:sz w:val="28"/>
              </w:rPr>
              <w:t>善。</w:t>
            </w:r>
          </w:p>
          <w:p>
            <w:pPr>
              <w:pStyle w:val="TableParagraph"/>
              <w:numPr>
                <w:ilvl w:val="0"/>
                <w:numId w:val="20"/>
              </w:numPr>
              <w:tabs>
                <w:tab w:pos="1614" w:val="left" w:leader="none"/>
              </w:tabs>
              <w:spacing w:line="240" w:lineRule="auto" w:before="2" w:after="0"/>
              <w:ind w:left="1614" w:right="0" w:hanging="906"/>
              <w:jc w:val="both"/>
              <w:rPr>
                <w:sz w:val="28"/>
              </w:rPr>
            </w:pPr>
            <w:r>
              <w:rPr>
                <w:spacing w:val="-3"/>
                <w:sz w:val="28"/>
              </w:rPr>
              <w:t>違反特管辦法第十九條第一項或第二項規定，未依限辦理特約變更。</w:t>
            </w:r>
          </w:p>
          <w:p>
            <w:pPr>
              <w:pStyle w:val="TableParagraph"/>
              <w:numPr>
                <w:ilvl w:val="0"/>
                <w:numId w:val="20"/>
              </w:numPr>
              <w:tabs>
                <w:tab w:pos="1613" w:val="left" w:leader="none"/>
                <w:tab w:pos="1615" w:val="left" w:leader="none"/>
              </w:tabs>
              <w:spacing w:line="266" w:lineRule="auto" w:before="42" w:after="0"/>
              <w:ind w:left="1615" w:right="151" w:hanging="908"/>
              <w:jc w:val="both"/>
              <w:rPr>
                <w:sz w:val="28"/>
              </w:rPr>
            </w:pPr>
            <w:r>
              <w:rPr>
                <w:spacing w:val="-2"/>
                <w:sz w:val="28"/>
              </w:rPr>
              <w:t>違反特管辦法第二十一條規定，未與支援該單位之照顧服務人員，於支援服務之契約明定其權利義務。</w:t>
            </w:r>
          </w:p>
          <w:p>
            <w:pPr>
              <w:pStyle w:val="TableParagraph"/>
              <w:numPr>
                <w:ilvl w:val="0"/>
                <w:numId w:val="20"/>
              </w:numPr>
              <w:tabs>
                <w:tab w:pos="1614" w:val="left" w:leader="none"/>
              </w:tabs>
              <w:spacing w:line="240" w:lineRule="auto" w:before="3" w:after="0"/>
              <w:ind w:left="1614" w:right="0" w:hanging="906"/>
              <w:jc w:val="both"/>
              <w:rPr>
                <w:sz w:val="28"/>
              </w:rPr>
            </w:pPr>
            <w:r>
              <w:rPr>
                <w:spacing w:val="-3"/>
                <w:sz w:val="28"/>
              </w:rPr>
              <w:t>違反特管辦法第二十二條規定，未依特約約定確保社員之勞動條件。</w:t>
            </w:r>
          </w:p>
          <w:p>
            <w:pPr>
              <w:pStyle w:val="TableParagraph"/>
              <w:numPr>
                <w:ilvl w:val="0"/>
                <w:numId w:val="20"/>
              </w:numPr>
              <w:tabs>
                <w:tab w:pos="1613" w:val="left" w:leader="none"/>
                <w:tab w:pos="1615" w:val="left" w:leader="none"/>
              </w:tabs>
              <w:spacing w:line="266" w:lineRule="auto" w:before="42" w:after="0"/>
              <w:ind w:left="1615" w:right="153" w:hanging="908"/>
              <w:jc w:val="left"/>
              <w:rPr>
                <w:sz w:val="28"/>
              </w:rPr>
            </w:pPr>
            <w:r>
              <w:rPr>
                <w:spacing w:val="-2"/>
                <w:sz w:val="28"/>
              </w:rPr>
              <w:t>違反特管辦法第二十四條規定，給予介紹獎金、服務費用加成或其他利益，使其他單位之個案更換於該單位服務。</w:t>
            </w:r>
          </w:p>
          <w:p>
            <w:pPr>
              <w:pStyle w:val="TableParagraph"/>
              <w:numPr>
                <w:ilvl w:val="0"/>
                <w:numId w:val="20"/>
              </w:numPr>
              <w:tabs>
                <w:tab w:pos="1613" w:val="left" w:leader="none"/>
                <w:tab w:pos="1615" w:val="left" w:leader="none"/>
              </w:tabs>
              <w:spacing w:line="268" w:lineRule="auto" w:before="3" w:after="0"/>
              <w:ind w:left="1615" w:right="159" w:hanging="908"/>
              <w:jc w:val="left"/>
              <w:rPr>
                <w:sz w:val="28"/>
              </w:rPr>
            </w:pPr>
            <w:r>
              <w:rPr>
                <w:spacing w:val="9"/>
                <w:sz w:val="28"/>
              </w:rPr>
              <w:t>違反特管辦法第三十四條第二項規定，規避、妨礙或拒絕甲方之查</w:t>
            </w:r>
            <w:r>
              <w:rPr>
                <w:spacing w:val="-6"/>
                <w:sz w:val="28"/>
              </w:rPr>
              <w:t>核。</w:t>
            </w:r>
          </w:p>
          <w:p>
            <w:pPr>
              <w:pStyle w:val="TableParagraph"/>
              <w:numPr>
                <w:ilvl w:val="0"/>
                <w:numId w:val="20"/>
              </w:numPr>
              <w:tabs>
                <w:tab w:pos="1613" w:val="left" w:leader="none"/>
                <w:tab w:pos="1615" w:val="left" w:leader="none"/>
              </w:tabs>
              <w:spacing w:line="268" w:lineRule="auto" w:before="0" w:after="0"/>
              <w:ind w:left="1615" w:right="151" w:hanging="908"/>
              <w:jc w:val="left"/>
              <w:rPr>
                <w:sz w:val="28"/>
              </w:rPr>
            </w:pPr>
            <w:r>
              <w:rPr>
                <w:spacing w:val="-2"/>
                <w:sz w:val="28"/>
              </w:rPr>
              <w:t>違反特管辦法第三十八條第二項規定，無正當理由未於期限內完成申報，經令其限期改善而屆期未改善。</w:t>
            </w:r>
          </w:p>
          <w:p>
            <w:pPr>
              <w:pStyle w:val="TableParagraph"/>
              <w:numPr>
                <w:ilvl w:val="0"/>
                <w:numId w:val="20"/>
              </w:numPr>
              <w:tabs>
                <w:tab w:pos="1614" w:val="left" w:leader="none"/>
              </w:tabs>
              <w:spacing w:line="357" w:lineRule="exact" w:before="0" w:after="0"/>
              <w:ind w:left="1614" w:right="0" w:hanging="906"/>
              <w:jc w:val="left"/>
              <w:rPr>
                <w:sz w:val="28"/>
              </w:rPr>
            </w:pPr>
            <w:r>
              <w:rPr>
                <w:spacing w:val="-3"/>
                <w:sz w:val="28"/>
              </w:rPr>
              <w:t>虛報、浮報服務費用。</w:t>
            </w:r>
          </w:p>
          <w:p>
            <w:pPr>
              <w:pStyle w:val="TableParagraph"/>
              <w:numPr>
                <w:ilvl w:val="0"/>
                <w:numId w:val="20"/>
              </w:numPr>
              <w:tabs>
                <w:tab w:pos="1613" w:val="left" w:leader="none"/>
                <w:tab w:pos="1615" w:val="left" w:leader="none"/>
              </w:tabs>
              <w:spacing w:line="268" w:lineRule="auto" w:before="36" w:after="0"/>
              <w:ind w:left="1615" w:right="149" w:hanging="908"/>
              <w:jc w:val="left"/>
              <w:rPr>
                <w:sz w:val="28"/>
              </w:rPr>
            </w:pPr>
            <w:r>
              <w:rPr>
                <w:spacing w:val="-2"/>
                <w:sz w:val="28"/>
              </w:rPr>
              <w:t>其他違反特約約定，致影響個案之權益，經令其限期改善而屆期未改</w:t>
            </w:r>
            <w:r>
              <w:rPr>
                <w:spacing w:val="-6"/>
                <w:sz w:val="28"/>
              </w:rPr>
              <w:t>善。</w:t>
            </w:r>
          </w:p>
          <w:p>
            <w:pPr>
              <w:pStyle w:val="TableParagraph"/>
              <w:spacing w:line="357" w:lineRule="exact"/>
              <w:rPr>
                <w:sz w:val="28"/>
              </w:rPr>
            </w:pPr>
            <w:r>
              <w:rPr>
                <w:position w:val="14"/>
                <w:sz w:val="14"/>
              </w:rPr>
              <w:t>2</w:t>
            </w:r>
            <w:r>
              <w:rPr>
                <w:spacing w:val="-1"/>
                <w:sz w:val="28"/>
              </w:rPr>
              <w:t>乙方有前項第四款、第八款至第十款、第十六款或第十八款違反特約情形</w:t>
            </w:r>
          </w:p>
          <w:p>
            <w:pPr>
              <w:pStyle w:val="TableParagraph"/>
              <w:spacing w:before="40"/>
              <w:ind w:left="347"/>
              <w:rPr>
                <w:sz w:val="28"/>
              </w:rPr>
            </w:pPr>
            <w:r>
              <w:rPr>
                <w:spacing w:val="-3"/>
                <w:sz w:val="28"/>
              </w:rPr>
              <w:t>之一，經令其限期改善而改善達二次者，予以違約記點一點；已達前項規定次數</w:t>
            </w:r>
          </w:p>
          <w:p>
            <w:pPr>
              <w:pStyle w:val="TableParagraph"/>
              <w:spacing w:line="339" w:lineRule="exact" w:before="42"/>
              <w:ind w:left="347"/>
              <w:rPr>
                <w:sz w:val="28"/>
              </w:rPr>
            </w:pPr>
            <w:r>
              <w:rPr>
                <w:spacing w:val="-3"/>
                <w:sz w:val="28"/>
              </w:rPr>
              <w:t>並經記點者，其次數應重新起算。</w:t>
            </w:r>
          </w:p>
        </w:tc>
      </w:tr>
      <w:tr>
        <w:trPr>
          <w:trHeight w:val="1199" w:hRule="atLeast"/>
        </w:trPr>
        <w:tc>
          <w:tcPr>
            <w:tcW w:w="10267" w:type="dxa"/>
          </w:tcPr>
          <w:p>
            <w:pPr>
              <w:pStyle w:val="TableParagraph"/>
              <w:tabs>
                <w:tab w:pos="1509" w:val="left" w:leader="none"/>
              </w:tabs>
              <w:spacing w:line="453" w:lineRule="exact"/>
              <w:ind w:left="107"/>
              <w:rPr>
                <w:rFonts w:ascii="Microsoft JhengHei" w:eastAsia="Microsoft JhengHei"/>
                <w:b/>
                <w:sz w:val="28"/>
              </w:rPr>
            </w:pPr>
            <w:r>
              <w:rPr>
                <w:rFonts w:ascii="Microsoft JhengHei" w:eastAsia="Microsoft JhengHei"/>
                <w:b/>
                <w:sz w:val="28"/>
              </w:rPr>
              <w:t>第二十</w:t>
            </w:r>
            <w:r>
              <w:rPr>
                <w:rFonts w:ascii="Microsoft JhengHei" w:eastAsia="Microsoft JhengHei"/>
                <w:b/>
                <w:spacing w:val="-10"/>
                <w:sz w:val="28"/>
              </w:rPr>
              <w:t>條</w:t>
            </w:r>
            <w:r>
              <w:rPr>
                <w:rFonts w:ascii="Microsoft JhengHei" w:eastAsia="Microsoft JhengHei"/>
                <w:b/>
                <w:sz w:val="28"/>
              </w:rPr>
              <w:tab/>
              <w:t>乙方</w:t>
            </w:r>
            <w:r>
              <w:rPr>
                <w:rFonts w:ascii="Georgia" w:eastAsia="Georgia"/>
                <w:b/>
                <w:sz w:val="28"/>
              </w:rPr>
              <w:t>(</w:t>
            </w:r>
            <w:r>
              <w:rPr>
                <w:rFonts w:ascii="Microsoft JhengHei" w:eastAsia="Microsoft JhengHei"/>
                <w:b/>
                <w:sz w:val="28"/>
              </w:rPr>
              <w:t>長照特約單位</w:t>
            </w:r>
            <w:r>
              <w:rPr>
                <w:rFonts w:ascii="Georgia" w:eastAsia="Georgia"/>
                <w:b/>
                <w:sz w:val="28"/>
              </w:rPr>
              <w:t>)</w:t>
            </w:r>
            <w:r>
              <w:rPr>
                <w:rFonts w:ascii="Microsoft JhengHei" w:eastAsia="Microsoft JhengHei"/>
                <w:b/>
                <w:sz w:val="28"/>
              </w:rPr>
              <w:t>違約加重記點之事</w:t>
            </w:r>
            <w:r>
              <w:rPr>
                <w:rFonts w:ascii="Microsoft JhengHei" w:eastAsia="Microsoft JhengHei"/>
                <w:b/>
                <w:spacing w:val="-10"/>
                <w:sz w:val="28"/>
              </w:rPr>
              <w:t>由</w:t>
            </w:r>
          </w:p>
          <w:p>
            <w:pPr>
              <w:pStyle w:val="TableParagraph"/>
              <w:spacing w:line="348" w:lineRule="exact"/>
              <w:rPr>
                <w:sz w:val="28"/>
              </w:rPr>
            </w:pPr>
            <w:r>
              <w:rPr>
                <w:position w:val="14"/>
                <w:sz w:val="14"/>
              </w:rPr>
              <w:t>1</w:t>
            </w:r>
            <w:r>
              <w:rPr>
                <w:spacing w:val="-1"/>
                <w:sz w:val="28"/>
              </w:rPr>
              <w:t>乙方於特約期間有下列情形之一者，為違反長照服務項目特約事項，予以</w:t>
            </w:r>
          </w:p>
          <w:p>
            <w:pPr>
              <w:pStyle w:val="TableParagraph"/>
              <w:spacing w:line="339" w:lineRule="exact" w:before="39"/>
              <w:ind w:left="347"/>
              <w:rPr>
                <w:sz w:val="28"/>
              </w:rPr>
            </w:pPr>
            <w:r>
              <w:rPr>
                <w:spacing w:val="-4"/>
                <w:sz w:val="28"/>
              </w:rPr>
              <w:t>記點二點：</w:t>
            </w:r>
          </w:p>
        </w:tc>
      </w:tr>
    </w:tbl>
    <w:p>
      <w:pPr>
        <w:rPr>
          <w:sz w:val="2"/>
          <w:szCs w:val="2"/>
        </w:rPr>
      </w:pPr>
      <w:r>
        <w:rPr>
          <w:sz w:val="2"/>
          <w:szCs w:val="2"/>
        </w:rPr>
        <mc:AlternateContent>
          <mc:Choice Requires="wps">
            <w:drawing>
              <wp:anchor distT="0" distB="0" distL="0" distR="0" allowOverlap="1" layoutInCell="1" locked="0" behindDoc="1" simplePos="0" relativeHeight="487170560">
                <wp:simplePos x="0" y="0"/>
                <wp:positionH relativeFrom="page">
                  <wp:posOffset>5426709</wp:posOffset>
                </wp:positionH>
                <wp:positionV relativeFrom="page">
                  <wp:posOffset>8634729</wp:posOffset>
                </wp:positionV>
                <wp:extent cx="2125345" cy="205422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2125345" cy="2054225"/>
                          <a:chExt cx="2125345" cy="2054225"/>
                        </a:xfrm>
                      </wpg:grpSpPr>
                      <wps:wsp>
                        <wps:cNvPr id="42" name="Graphic 42"/>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43" name="Textbox 43"/>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14</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5920" id="docshapegroup41" coordorigin="8546,13598" coordsize="3347,3235">
                <v:shape style="position:absolute;left:8546;top:13598;width:3347;height:3235" id="docshape42" coordorigin="8546,13598" coordsize="3347,3235" path="m11893,13598l8546,16833,11893,16833,11893,13598xe" filled="true" fillcolor="#d2eaf0" stroked="false">
                  <v:path arrowok="t"/>
                  <v:fill type="solid"/>
                </v:shape>
                <v:shape style="position:absolute;left:8546;top:13598;width:3347;height:3235" type="#_x0000_t202" id="docshape43"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14</w:t>
                        </w:r>
                      </w:p>
                    </w:txbxContent>
                  </v:textbox>
                  <w10:wrap type="none"/>
                </v:shape>
                <w10:wrap type="none"/>
              </v:group>
            </w:pict>
          </mc:Fallback>
        </mc:AlternateContent>
      </w:r>
    </w:p>
    <w:p>
      <w:pPr>
        <w:spacing w:after="0"/>
        <w:rPr>
          <w:sz w:val="2"/>
          <w:szCs w:val="2"/>
        </w:rPr>
        <w:sectPr>
          <w:type w:val="continuous"/>
          <w:pgSz w:w="11910" w:h="16840"/>
          <w:pgMar w:header="882" w:footer="0" w:top="1120" w:bottom="1478"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1600" w:hRule="atLeast"/>
        </w:trPr>
        <w:tc>
          <w:tcPr>
            <w:tcW w:w="10267" w:type="dxa"/>
          </w:tcPr>
          <w:p>
            <w:pPr>
              <w:pStyle w:val="TableParagraph"/>
              <w:numPr>
                <w:ilvl w:val="0"/>
                <w:numId w:val="21"/>
              </w:numPr>
              <w:tabs>
                <w:tab w:pos="1275" w:val="left" w:leader="none"/>
              </w:tabs>
              <w:spacing w:line="407" w:lineRule="exact" w:before="0" w:after="0"/>
              <w:ind w:left="1275" w:right="0" w:hanging="565"/>
              <w:jc w:val="left"/>
              <w:rPr>
                <w:sz w:val="28"/>
              </w:rPr>
            </w:pPr>
            <w:r>
              <w:rPr>
                <w:spacing w:val="-3"/>
                <w:sz w:val="28"/>
              </w:rPr>
              <w:t>再次違反前條第一項同款情形。</w:t>
            </w:r>
          </w:p>
          <w:p>
            <w:pPr>
              <w:pStyle w:val="TableParagraph"/>
              <w:numPr>
                <w:ilvl w:val="0"/>
                <w:numId w:val="21"/>
              </w:numPr>
              <w:tabs>
                <w:tab w:pos="1275" w:val="left" w:leader="none"/>
              </w:tabs>
              <w:spacing w:line="446" w:lineRule="exact" w:before="0" w:after="0"/>
              <w:ind w:left="1275" w:right="0" w:hanging="565"/>
              <w:jc w:val="left"/>
              <w:rPr>
                <w:sz w:val="28"/>
              </w:rPr>
            </w:pPr>
            <w:r>
              <w:rPr>
                <w:spacing w:val="-3"/>
                <w:sz w:val="28"/>
              </w:rPr>
              <w:t>再次違反前條第二項情形。</w:t>
            </w:r>
          </w:p>
          <w:p>
            <w:pPr>
              <w:pStyle w:val="TableParagraph"/>
              <w:spacing w:line="347" w:lineRule="exact"/>
              <w:rPr>
                <w:sz w:val="28"/>
              </w:rPr>
            </w:pPr>
            <w:r>
              <w:rPr>
                <w:position w:val="14"/>
                <w:sz w:val="14"/>
              </w:rPr>
              <w:t>2</w:t>
            </w:r>
            <w:r>
              <w:rPr>
                <w:spacing w:val="-1"/>
                <w:sz w:val="28"/>
              </w:rPr>
              <w:t>乙方於特約期間再有違反前項各款情形之一者，甲方得依違約次數加倍記</w:t>
            </w:r>
          </w:p>
          <w:p>
            <w:pPr>
              <w:pStyle w:val="TableParagraph"/>
              <w:spacing w:line="339" w:lineRule="exact" w:before="42"/>
              <w:ind w:left="347"/>
              <w:rPr>
                <w:sz w:val="28"/>
              </w:rPr>
            </w:pPr>
            <w:r>
              <w:rPr>
                <w:spacing w:val="-5"/>
                <w:sz w:val="28"/>
              </w:rPr>
              <w:t>點。</w:t>
            </w:r>
          </w:p>
        </w:tc>
      </w:tr>
      <w:tr>
        <w:trPr>
          <w:trHeight w:val="10002" w:hRule="atLeast"/>
        </w:trPr>
        <w:tc>
          <w:tcPr>
            <w:tcW w:w="10267" w:type="dxa"/>
          </w:tcPr>
          <w:p>
            <w:pPr>
              <w:pStyle w:val="TableParagraph"/>
              <w:tabs>
                <w:tab w:pos="1790" w:val="left" w:leader="none"/>
              </w:tabs>
              <w:spacing w:line="453" w:lineRule="exact"/>
              <w:ind w:left="107"/>
              <w:rPr>
                <w:rFonts w:ascii="Microsoft JhengHei" w:eastAsia="Microsoft JhengHei"/>
                <w:b/>
                <w:sz w:val="28"/>
              </w:rPr>
            </w:pPr>
            <w:r>
              <w:rPr>
                <w:rFonts w:ascii="Microsoft JhengHei" w:eastAsia="Microsoft JhengHei"/>
                <w:b/>
                <w:sz w:val="28"/>
              </w:rPr>
              <w:t>第二十一</w:t>
            </w:r>
            <w:r>
              <w:rPr>
                <w:rFonts w:ascii="Microsoft JhengHei" w:eastAsia="Microsoft JhengHei"/>
                <w:b/>
                <w:spacing w:val="-10"/>
                <w:sz w:val="28"/>
              </w:rPr>
              <w:t>條</w:t>
            </w:r>
            <w:r>
              <w:rPr>
                <w:rFonts w:ascii="Microsoft JhengHei" w:eastAsia="Microsoft JhengHei"/>
                <w:b/>
                <w:sz w:val="28"/>
              </w:rPr>
              <w:tab/>
              <w:t>乙方</w:t>
            </w:r>
            <w:r>
              <w:rPr>
                <w:rFonts w:ascii="Georgia" w:eastAsia="Georgia"/>
                <w:b/>
                <w:sz w:val="28"/>
              </w:rPr>
              <w:t>(</w:t>
            </w:r>
            <w:r>
              <w:rPr>
                <w:rFonts w:ascii="Microsoft JhengHei" w:eastAsia="Microsoft JhengHei"/>
                <w:b/>
                <w:sz w:val="28"/>
              </w:rPr>
              <w:t>社區整合型服務中心</w:t>
            </w:r>
            <w:r>
              <w:rPr>
                <w:rFonts w:ascii="Georgia" w:eastAsia="Georgia"/>
                <w:b/>
                <w:sz w:val="28"/>
              </w:rPr>
              <w:t>)</w:t>
            </w:r>
            <w:r>
              <w:rPr>
                <w:rFonts w:ascii="Microsoft JhengHei" w:eastAsia="Microsoft JhengHei"/>
                <w:b/>
                <w:sz w:val="28"/>
              </w:rPr>
              <w:t>違約記點之事由</w:t>
            </w:r>
            <w:r>
              <w:rPr>
                <w:rFonts w:ascii="Microsoft JhengHei" w:eastAsia="Microsoft JhengHei"/>
                <w:b/>
                <w:spacing w:val="-10"/>
                <w:sz w:val="28"/>
              </w:rPr>
              <w:t>：</w:t>
            </w:r>
          </w:p>
          <w:p>
            <w:pPr>
              <w:pStyle w:val="TableParagraph"/>
              <w:spacing w:line="348" w:lineRule="exact"/>
              <w:rPr>
                <w:sz w:val="28"/>
              </w:rPr>
            </w:pPr>
            <w:r>
              <w:rPr>
                <w:position w:val="14"/>
                <w:sz w:val="14"/>
              </w:rPr>
              <w:t>1</w:t>
            </w:r>
            <w:r>
              <w:rPr>
                <w:spacing w:val="-1"/>
                <w:sz w:val="28"/>
              </w:rPr>
              <w:t>乙方為社區整合型服務中心，於特約期間有下列情形之之一者，為違反長</w:t>
            </w:r>
          </w:p>
          <w:p>
            <w:pPr>
              <w:pStyle w:val="TableParagraph"/>
              <w:spacing w:before="39"/>
              <w:ind w:left="347"/>
              <w:rPr>
                <w:sz w:val="28"/>
              </w:rPr>
            </w:pPr>
            <w:r>
              <w:rPr>
                <w:spacing w:val="-3"/>
                <w:sz w:val="28"/>
              </w:rPr>
              <w:t>照服務給付項目特約事項，予以違約記點一點：</w:t>
            </w:r>
          </w:p>
          <w:p>
            <w:pPr>
              <w:pStyle w:val="TableParagraph"/>
              <w:numPr>
                <w:ilvl w:val="0"/>
                <w:numId w:val="22"/>
              </w:numPr>
              <w:tabs>
                <w:tab w:pos="1275" w:val="left" w:leader="none"/>
              </w:tabs>
              <w:spacing w:line="240" w:lineRule="auto" w:before="42" w:after="0"/>
              <w:ind w:left="1275" w:right="0" w:hanging="565"/>
              <w:jc w:val="left"/>
              <w:rPr>
                <w:sz w:val="28"/>
              </w:rPr>
            </w:pPr>
            <w:r>
              <w:rPr>
                <w:spacing w:val="-3"/>
                <w:sz w:val="28"/>
              </w:rPr>
              <w:t>違反本法第三十二條之二規定，經依各該法律規定處罰。</w:t>
            </w:r>
          </w:p>
          <w:p>
            <w:pPr>
              <w:pStyle w:val="TableParagraph"/>
              <w:numPr>
                <w:ilvl w:val="0"/>
                <w:numId w:val="22"/>
              </w:numPr>
              <w:tabs>
                <w:tab w:pos="1275" w:val="left" w:leader="none"/>
                <w:tab w:pos="1277" w:val="left" w:leader="none"/>
              </w:tabs>
              <w:spacing w:line="266" w:lineRule="auto" w:before="43" w:after="0"/>
              <w:ind w:left="1277" w:right="160" w:hanging="567"/>
              <w:jc w:val="left"/>
              <w:rPr>
                <w:sz w:val="28"/>
              </w:rPr>
            </w:pPr>
            <w:r>
              <w:rPr>
                <w:spacing w:val="-2"/>
                <w:sz w:val="28"/>
              </w:rPr>
              <w:t>違反特管辦法第十三條規定，接受派案後，無正當理由，且未於期限內回復甲方處理情形。</w:t>
            </w:r>
          </w:p>
          <w:p>
            <w:pPr>
              <w:pStyle w:val="TableParagraph"/>
              <w:numPr>
                <w:ilvl w:val="0"/>
                <w:numId w:val="22"/>
              </w:numPr>
              <w:tabs>
                <w:tab w:pos="1275" w:val="left" w:leader="none"/>
                <w:tab w:pos="1277" w:val="left" w:leader="none"/>
              </w:tabs>
              <w:spacing w:line="268" w:lineRule="auto" w:before="3" w:after="0"/>
              <w:ind w:left="1277" w:right="160" w:hanging="567"/>
              <w:jc w:val="left"/>
              <w:rPr>
                <w:sz w:val="28"/>
              </w:rPr>
            </w:pPr>
            <w:r>
              <w:rPr>
                <w:spacing w:val="-2"/>
                <w:sz w:val="28"/>
              </w:rPr>
              <w:t>違反特管辦法第十七條規定，未製作紀錄、未依限保存、未移交保存或製作紀錄虛偽不實，經令其限期改善而屆期未改善。</w:t>
            </w:r>
          </w:p>
          <w:p>
            <w:pPr>
              <w:pStyle w:val="TableParagraph"/>
              <w:numPr>
                <w:ilvl w:val="0"/>
                <w:numId w:val="22"/>
              </w:numPr>
              <w:tabs>
                <w:tab w:pos="1275" w:val="left" w:leader="none"/>
                <w:tab w:pos="1277" w:val="left" w:leader="none"/>
              </w:tabs>
              <w:spacing w:line="268" w:lineRule="auto" w:before="0" w:after="0"/>
              <w:ind w:left="1277" w:right="160" w:hanging="567"/>
              <w:jc w:val="both"/>
              <w:rPr>
                <w:sz w:val="28"/>
              </w:rPr>
            </w:pPr>
            <w:r>
              <w:rPr>
                <w:spacing w:val="-2"/>
                <w:sz w:val="28"/>
              </w:rPr>
              <w:t>違反特管辦法第十八條規定，未依限登載、服務資訊登載不實或實際提供服務之服務人員與登載於照管系統資訊不符，經令其限期改善而屆期</w:t>
            </w:r>
            <w:r>
              <w:rPr>
                <w:spacing w:val="-4"/>
                <w:sz w:val="28"/>
              </w:rPr>
              <w:t>未改善。</w:t>
            </w:r>
          </w:p>
          <w:p>
            <w:pPr>
              <w:pStyle w:val="TableParagraph"/>
              <w:numPr>
                <w:ilvl w:val="0"/>
                <w:numId w:val="22"/>
              </w:numPr>
              <w:tabs>
                <w:tab w:pos="1275" w:val="left" w:leader="none"/>
              </w:tabs>
              <w:spacing w:line="353" w:lineRule="exact" w:before="0" w:after="0"/>
              <w:ind w:left="1275" w:right="0" w:hanging="565"/>
              <w:jc w:val="left"/>
              <w:rPr>
                <w:sz w:val="28"/>
              </w:rPr>
            </w:pPr>
            <w:r>
              <w:rPr>
                <w:spacing w:val="-3"/>
                <w:sz w:val="28"/>
              </w:rPr>
              <w:t>違反特管辦法第十九條第一項或第二項規定，未依限辦理特約變更。</w:t>
            </w:r>
          </w:p>
          <w:p>
            <w:pPr>
              <w:pStyle w:val="TableParagraph"/>
              <w:numPr>
                <w:ilvl w:val="0"/>
                <w:numId w:val="22"/>
              </w:numPr>
              <w:tabs>
                <w:tab w:pos="1275" w:val="left" w:leader="none"/>
              </w:tabs>
              <w:spacing w:line="240" w:lineRule="auto" w:before="37" w:after="0"/>
              <w:ind w:left="1275" w:right="0" w:hanging="565"/>
              <w:jc w:val="left"/>
              <w:rPr>
                <w:sz w:val="28"/>
              </w:rPr>
            </w:pPr>
            <w:r>
              <w:rPr>
                <w:spacing w:val="-3"/>
                <w:sz w:val="28"/>
              </w:rPr>
              <w:t>違反特管辦法第二十條規定，向長照特約單位收取費用。</w:t>
            </w:r>
          </w:p>
          <w:p>
            <w:pPr>
              <w:pStyle w:val="TableParagraph"/>
              <w:numPr>
                <w:ilvl w:val="0"/>
                <w:numId w:val="22"/>
              </w:numPr>
              <w:tabs>
                <w:tab w:pos="1275" w:val="left" w:leader="none"/>
              </w:tabs>
              <w:spacing w:line="240" w:lineRule="auto" w:before="43" w:after="0"/>
              <w:ind w:left="1275" w:right="0" w:hanging="565"/>
              <w:jc w:val="left"/>
              <w:rPr>
                <w:sz w:val="28"/>
              </w:rPr>
            </w:pPr>
            <w:r>
              <w:rPr>
                <w:spacing w:val="-3"/>
                <w:sz w:val="28"/>
              </w:rPr>
              <w:t>違反特管辦法第二十二條規定，未依特約約定確保社員之勞動條件。</w:t>
            </w:r>
          </w:p>
          <w:p>
            <w:pPr>
              <w:pStyle w:val="TableParagraph"/>
              <w:numPr>
                <w:ilvl w:val="0"/>
                <w:numId w:val="22"/>
              </w:numPr>
              <w:tabs>
                <w:tab w:pos="1275" w:val="left" w:leader="none"/>
              </w:tabs>
              <w:spacing w:line="240" w:lineRule="auto" w:before="40" w:after="0"/>
              <w:ind w:left="1275" w:right="0" w:hanging="565"/>
              <w:jc w:val="left"/>
              <w:rPr>
                <w:sz w:val="28"/>
              </w:rPr>
            </w:pPr>
            <w:r>
              <w:rPr>
                <w:spacing w:val="-3"/>
                <w:sz w:val="28"/>
              </w:rPr>
              <w:t>違反特管辦法第三十四條第二項規定，規避、妨礙或拒絕甲方之查核。</w:t>
            </w:r>
          </w:p>
          <w:p>
            <w:pPr>
              <w:pStyle w:val="TableParagraph"/>
              <w:numPr>
                <w:ilvl w:val="0"/>
                <w:numId w:val="22"/>
              </w:numPr>
              <w:tabs>
                <w:tab w:pos="1275" w:val="left" w:leader="none"/>
                <w:tab w:pos="1277" w:val="left" w:leader="none"/>
              </w:tabs>
              <w:spacing w:line="268" w:lineRule="auto" w:before="42" w:after="0"/>
              <w:ind w:left="1277" w:right="156" w:hanging="567"/>
              <w:jc w:val="left"/>
              <w:rPr>
                <w:sz w:val="28"/>
              </w:rPr>
            </w:pPr>
            <w:r>
              <w:rPr>
                <w:spacing w:val="-2"/>
                <w:sz w:val="28"/>
              </w:rPr>
              <w:t>未依給付辦法第五條第二項規定，執行個案管理、媒合服務，經令其限期改善而屆期未改善。</w:t>
            </w:r>
          </w:p>
          <w:p>
            <w:pPr>
              <w:pStyle w:val="TableParagraph"/>
              <w:numPr>
                <w:ilvl w:val="0"/>
                <w:numId w:val="22"/>
              </w:numPr>
              <w:tabs>
                <w:tab w:pos="1275" w:val="left" w:leader="none"/>
                <w:tab w:pos="1277" w:val="left" w:leader="none"/>
              </w:tabs>
              <w:spacing w:line="268" w:lineRule="auto" w:before="0" w:after="0"/>
              <w:ind w:left="1277" w:right="162" w:hanging="567"/>
              <w:jc w:val="left"/>
              <w:rPr>
                <w:sz w:val="28"/>
              </w:rPr>
            </w:pPr>
            <w:r>
              <w:rPr>
                <w:spacing w:val="10"/>
                <w:sz w:val="28"/>
              </w:rPr>
              <w:t>違反特管辦法第三十八條第二項規定，無正當理由未於期限內完成申</w:t>
            </w:r>
            <w:r>
              <w:rPr>
                <w:spacing w:val="-2"/>
                <w:sz w:val="28"/>
              </w:rPr>
              <w:t>報，經令其限期改善而屆期未改善。</w:t>
            </w:r>
          </w:p>
          <w:p>
            <w:pPr>
              <w:pStyle w:val="TableParagraph"/>
              <w:numPr>
                <w:ilvl w:val="0"/>
                <w:numId w:val="22"/>
              </w:numPr>
              <w:tabs>
                <w:tab w:pos="1614" w:val="left" w:leader="none"/>
              </w:tabs>
              <w:spacing w:line="357" w:lineRule="exact" w:before="0" w:after="0"/>
              <w:ind w:left="1614" w:right="0" w:hanging="906"/>
              <w:jc w:val="left"/>
              <w:rPr>
                <w:sz w:val="28"/>
              </w:rPr>
            </w:pPr>
            <w:r>
              <w:rPr>
                <w:spacing w:val="-3"/>
                <w:sz w:val="28"/>
              </w:rPr>
              <w:t>虛報、浮報服務費用。</w:t>
            </w:r>
          </w:p>
          <w:p>
            <w:pPr>
              <w:pStyle w:val="TableParagraph"/>
              <w:numPr>
                <w:ilvl w:val="0"/>
                <w:numId w:val="22"/>
              </w:numPr>
              <w:tabs>
                <w:tab w:pos="1613" w:val="left" w:leader="none"/>
                <w:tab w:pos="1615" w:val="left" w:leader="none"/>
              </w:tabs>
              <w:spacing w:line="268" w:lineRule="auto" w:before="35" w:after="0"/>
              <w:ind w:left="1615" w:right="151" w:hanging="908"/>
              <w:jc w:val="left"/>
              <w:rPr>
                <w:sz w:val="28"/>
              </w:rPr>
            </w:pPr>
            <w:r>
              <w:rPr>
                <w:spacing w:val="-2"/>
                <w:sz w:val="28"/>
              </w:rPr>
              <w:t>其他違反特約約定，致影響個案之權益，經令其限期改善而屆期未改</w:t>
            </w:r>
            <w:r>
              <w:rPr>
                <w:spacing w:val="-6"/>
                <w:sz w:val="28"/>
              </w:rPr>
              <w:t>善。</w:t>
            </w:r>
          </w:p>
          <w:p>
            <w:pPr>
              <w:pStyle w:val="TableParagraph"/>
              <w:spacing w:line="357" w:lineRule="exact"/>
              <w:rPr>
                <w:sz w:val="28"/>
              </w:rPr>
            </w:pPr>
            <w:r>
              <w:rPr>
                <w:position w:val="14"/>
                <w:sz w:val="14"/>
              </w:rPr>
              <w:t>2</w:t>
            </w:r>
            <w:r>
              <w:rPr>
                <w:spacing w:val="-1"/>
                <w:sz w:val="28"/>
              </w:rPr>
              <w:t>乙方有前項第三款、第四款、第九款、第十款或第十二款違反特約情形之</w:t>
            </w:r>
          </w:p>
          <w:p>
            <w:pPr>
              <w:pStyle w:val="TableParagraph"/>
              <w:spacing w:before="40"/>
              <w:ind w:left="347"/>
              <w:rPr>
                <w:sz w:val="28"/>
              </w:rPr>
            </w:pPr>
            <w:r>
              <w:rPr>
                <w:spacing w:val="-3"/>
                <w:sz w:val="28"/>
              </w:rPr>
              <w:t>一，經令其限期改善而改善達二次者，予以違約記點一點；已達前項規定次數並</w:t>
            </w:r>
          </w:p>
          <w:p>
            <w:pPr>
              <w:pStyle w:val="TableParagraph"/>
              <w:spacing w:line="339" w:lineRule="exact" w:before="42"/>
              <w:ind w:left="347"/>
              <w:rPr>
                <w:sz w:val="28"/>
              </w:rPr>
            </w:pPr>
            <w:r>
              <w:rPr>
                <w:spacing w:val="-3"/>
                <w:sz w:val="28"/>
              </w:rPr>
              <w:t>經記點者，其次數應重新起算。</w:t>
            </w:r>
          </w:p>
        </w:tc>
      </w:tr>
      <w:tr>
        <w:trPr>
          <w:trHeight w:val="2001" w:hRule="atLeast"/>
        </w:trPr>
        <w:tc>
          <w:tcPr>
            <w:tcW w:w="10267" w:type="dxa"/>
          </w:tcPr>
          <w:p>
            <w:pPr>
              <w:pStyle w:val="TableParagraph"/>
              <w:tabs>
                <w:tab w:pos="1790" w:val="left" w:leader="none"/>
              </w:tabs>
              <w:spacing w:line="452" w:lineRule="exact"/>
              <w:ind w:left="107"/>
              <w:rPr>
                <w:rFonts w:ascii="Microsoft JhengHei" w:eastAsia="Microsoft JhengHei"/>
                <w:b/>
                <w:sz w:val="28"/>
              </w:rPr>
            </w:pPr>
            <w:r>
              <w:rPr>
                <w:rFonts w:ascii="Microsoft JhengHei" w:eastAsia="Microsoft JhengHei"/>
                <w:b/>
                <w:sz w:val="28"/>
              </w:rPr>
              <w:t>第二十二</w:t>
            </w:r>
            <w:r>
              <w:rPr>
                <w:rFonts w:ascii="Microsoft JhengHei" w:eastAsia="Microsoft JhengHei"/>
                <w:b/>
                <w:spacing w:val="-10"/>
                <w:sz w:val="28"/>
              </w:rPr>
              <w:t>條</w:t>
            </w:r>
            <w:r>
              <w:rPr>
                <w:rFonts w:ascii="Microsoft JhengHei" w:eastAsia="Microsoft JhengHei"/>
                <w:b/>
                <w:sz w:val="28"/>
              </w:rPr>
              <w:tab/>
              <w:t>乙方</w:t>
            </w:r>
            <w:r>
              <w:rPr>
                <w:rFonts w:ascii="Georgia" w:eastAsia="Georgia"/>
                <w:b/>
                <w:sz w:val="28"/>
              </w:rPr>
              <w:t>(</w:t>
            </w:r>
            <w:r>
              <w:rPr>
                <w:rFonts w:ascii="Microsoft JhengHei" w:eastAsia="Microsoft JhengHei"/>
                <w:b/>
                <w:sz w:val="28"/>
              </w:rPr>
              <w:t>社區整合型服務中心</w:t>
            </w:r>
            <w:r>
              <w:rPr>
                <w:rFonts w:ascii="Georgia" w:eastAsia="Georgia"/>
                <w:b/>
                <w:sz w:val="28"/>
              </w:rPr>
              <w:t>)</w:t>
            </w:r>
            <w:r>
              <w:rPr>
                <w:rFonts w:ascii="Microsoft JhengHei" w:eastAsia="Microsoft JhengHei"/>
                <w:b/>
                <w:sz w:val="28"/>
              </w:rPr>
              <w:t>違約加重記點之事</w:t>
            </w:r>
            <w:r>
              <w:rPr>
                <w:rFonts w:ascii="Microsoft JhengHei" w:eastAsia="Microsoft JhengHei"/>
                <w:b/>
                <w:spacing w:val="-10"/>
                <w:sz w:val="28"/>
              </w:rPr>
              <w:t>由</w:t>
            </w:r>
          </w:p>
          <w:p>
            <w:pPr>
              <w:pStyle w:val="TableParagraph"/>
              <w:spacing w:line="347" w:lineRule="exact"/>
              <w:rPr>
                <w:sz w:val="28"/>
              </w:rPr>
            </w:pPr>
            <w:r>
              <w:rPr>
                <w:position w:val="14"/>
                <w:sz w:val="14"/>
              </w:rPr>
              <w:t>1</w:t>
            </w:r>
            <w:r>
              <w:rPr>
                <w:spacing w:val="-1"/>
                <w:sz w:val="28"/>
              </w:rPr>
              <w:t>乙方於特約期間有下列情形之一者，為違反長照服務項目特約事項，予以</w:t>
            </w:r>
          </w:p>
          <w:p>
            <w:pPr>
              <w:pStyle w:val="TableParagraph"/>
              <w:spacing w:before="42"/>
              <w:ind w:left="347"/>
              <w:rPr>
                <w:sz w:val="28"/>
              </w:rPr>
            </w:pPr>
            <w:r>
              <w:rPr>
                <w:spacing w:val="-4"/>
                <w:sz w:val="28"/>
              </w:rPr>
              <w:t>記點二點：</w:t>
            </w:r>
          </w:p>
          <w:p>
            <w:pPr>
              <w:pStyle w:val="TableParagraph"/>
              <w:numPr>
                <w:ilvl w:val="0"/>
                <w:numId w:val="23"/>
              </w:numPr>
              <w:tabs>
                <w:tab w:pos="1184" w:val="left" w:leader="none"/>
              </w:tabs>
              <w:spacing w:line="240" w:lineRule="auto" w:before="42" w:after="0"/>
              <w:ind w:left="1184" w:right="0" w:hanging="565"/>
              <w:jc w:val="left"/>
              <w:rPr>
                <w:sz w:val="28"/>
              </w:rPr>
            </w:pPr>
            <w:r>
              <w:rPr>
                <w:spacing w:val="-3"/>
                <w:sz w:val="28"/>
              </w:rPr>
              <w:t>再次違反前條第一項同款情形。</w:t>
            </w:r>
          </w:p>
          <w:p>
            <w:pPr>
              <w:pStyle w:val="TableParagraph"/>
              <w:numPr>
                <w:ilvl w:val="0"/>
                <w:numId w:val="23"/>
              </w:numPr>
              <w:tabs>
                <w:tab w:pos="1184" w:val="left" w:leader="none"/>
              </w:tabs>
              <w:spacing w:line="341" w:lineRule="exact" w:before="39" w:after="0"/>
              <w:ind w:left="1184" w:right="0" w:hanging="565"/>
              <w:jc w:val="left"/>
              <w:rPr>
                <w:sz w:val="28"/>
              </w:rPr>
            </w:pPr>
            <w:r>
              <w:rPr>
                <w:spacing w:val="-3"/>
                <w:sz w:val="28"/>
              </w:rPr>
              <w:t>再次違反前條第二項情形。</w:t>
            </w:r>
          </w:p>
        </w:tc>
      </w:tr>
    </w:tbl>
    <w:p>
      <w:pPr>
        <w:rPr>
          <w:sz w:val="2"/>
          <w:szCs w:val="2"/>
        </w:rPr>
      </w:pPr>
      <w:r>
        <w:rPr>
          <w:sz w:val="2"/>
          <w:szCs w:val="2"/>
        </w:rPr>
        <mc:AlternateContent>
          <mc:Choice Requires="wps">
            <w:drawing>
              <wp:anchor distT="0" distB="0" distL="0" distR="0" allowOverlap="1" layoutInCell="1" locked="0" behindDoc="1" simplePos="0" relativeHeight="487171072">
                <wp:simplePos x="0" y="0"/>
                <wp:positionH relativeFrom="page">
                  <wp:posOffset>5426709</wp:posOffset>
                </wp:positionH>
                <wp:positionV relativeFrom="page">
                  <wp:posOffset>8634729</wp:posOffset>
                </wp:positionV>
                <wp:extent cx="2125345" cy="205422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2125345" cy="2054225"/>
                          <a:chExt cx="2125345" cy="2054225"/>
                        </a:xfrm>
                      </wpg:grpSpPr>
                      <wps:wsp>
                        <wps:cNvPr id="45" name="Graphic 45"/>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46" name="Textbox 46"/>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15</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5408" id="docshapegroup44" coordorigin="8546,13598" coordsize="3347,3235">
                <v:shape style="position:absolute;left:8546;top:13598;width:3347;height:3235" id="docshape45" coordorigin="8546,13598" coordsize="3347,3235" path="m11893,13598l8546,16833,11893,16833,11893,13598xe" filled="true" fillcolor="#d2eaf0" stroked="false">
                  <v:path arrowok="t"/>
                  <v:fill type="solid"/>
                </v:shape>
                <v:shape style="position:absolute;left:8546;top:13598;width:3347;height:3235" type="#_x0000_t202" id="docshape46"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15</w:t>
                        </w:r>
                      </w:p>
                    </w:txbxContent>
                  </v:textbox>
                  <w10:wrap type="none"/>
                </v:shape>
                <w10:wrap type="none"/>
              </v:group>
            </w:pict>
          </mc:Fallback>
        </mc:AlternateContent>
      </w:r>
    </w:p>
    <w:p>
      <w:pPr>
        <w:spacing w:after="0"/>
        <w:rPr>
          <w:sz w:val="2"/>
          <w:szCs w:val="2"/>
        </w:rPr>
        <w:sectPr>
          <w:type w:val="continuous"/>
          <w:pgSz w:w="11910" w:h="16840"/>
          <w:pgMar w:header="882" w:footer="0" w:top="1120" w:bottom="1466"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801" w:hRule="atLeast"/>
        </w:trPr>
        <w:tc>
          <w:tcPr>
            <w:tcW w:w="10267" w:type="dxa"/>
          </w:tcPr>
          <w:p>
            <w:pPr>
              <w:pStyle w:val="TableParagraph"/>
              <w:spacing w:before="42"/>
              <w:rPr>
                <w:sz w:val="28"/>
              </w:rPr>
            </w:pPr>
            <w:r>
              <w:rPr>
                <w:position w:val="14"/>
                <w:sz w:val="14"/>
              </w:rPr>
              <w:t>2</w:t>
            </w:r>
            <w:r>
              <w:rPr>
                <w:spacing w:val="-1"/>
                <w:sz w:val="28"/>
              </w:rPr>
              <w:t>乙方於特約期間再有違反前項各款情形之一者，甲方得依違約次數加倍記</w:t>
            </w:r>
          </w:p>
          <w:p>
            <w:pPr>
              <w:pStyle w:val="TableParagraph"/>
              <w:spacing w:line="339" w:lineRule="exact" w:before="42"/>
              <w:ind w:left="347"/>
              <w:rPr>
                <w:sz w:val="28"/>
              </w:rPr>
            </w:pPr>
            <w:r>
              <w:rPr>
                <w:spacing w:val="-5"/>
                <w:sz w:val="28"/>
              </w:rPr>
              <w:t>點。</w:t>
            </w:r>
          </w:p>
        </w:tc>
      </w:tr>
      <w:tr>
        <w:trPr>
          <w:trHeight w:val="9841" w:hRule="atLeast"/>
        </w:trPr>
        <w:tc>
          <w:tcPr>
            <w:tcW w:w="10267" w:type="dxa"/>
          </w:tcPr>
          <w:p>
            <w:pPr>
              <w:pStyle w:val="TableParagraph"/>
              <w:tabs>
                <w:tab w:pos="1792" w:val="left" w:leader="none"/>
              </w:tabs>
              <w:spacing w:line="464" w:lineRule="exact"/>
              <w:ind w:left="107"/>
              <w:rPr>
                <w:rFonts w:ascii="Microsoft JhengHei" w:eastAsia="Microsoft JhengHei"/>
                <w:b/>
                <w:sz w:val="28"/>
              </w:rPr>
            </w:pPr>
            <w:r>
              <w:rPr>
                <w:rFonts w:ascii="Microsoft JhengHei" w:eastAsia="Microsoft JhengHei"/>
                <w:b/>
                <w:sz w:val="28"/>
              </w:rPr>
              <w:t>第二十三</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停止或減少派</w:t>
            </w:r>
            <w:r>
              <w:rPr>
                <w:rFonts w:ascii="Microsoft JhengHei" w:eastAsia="Microsoft JhengHei"/>
                <w:b/>
                <w:spacing w:val="-10"/>
                <w:sz w:val="28"/>
              </w:rPr>
              <w:t>案</w:t>
            </w:r>
          </w:p>
          <w:p>
            <w:pPr>
              <w:pStyle w:val="TableParagraph"/>
              <w:spacing w:line="295" w:lineRule="auto" w:before="9"/>
              <w:ind w:left="311" w:right="145" w:firstLine="708"/>
              <w:jc w:val="both"/>
              <w:rPr>
                <w:sz w:val="28"/>
              </w:rPr>
            </w:pPr>
            <w:r>
              <w:rPr>
                <w:position w:val="14"/>
                <w:sz w:val="14"/>
              </w:rPr>
              <w:t>1</w:t>
            </w:r>
            <w:r>
              <w:rPr>
                <w:spacing w:val="-18"/>
                <w:position w:val="14"/>
                <w:sz w:val="14"/>
              </w:rPr>
              <w:t> </w:t>
            </w:r>
            <w:r>
              <w:rPr>
                <w:sz w:val="28"/>
              </w:rPr>
              <w:t>甲方得視乙方有第十九條至第二十一條或前條違約記點情形，予以停止派</w:t>
            </w:r>
            <w:r>
              <w:rPr>
                <w:spacing w:val="-2"/>
                <w:sz w:val="28"/>
              </w:rPr>
              <w:t>案三十日至一百八十日，並得按其情節就違反規定之長照服務給付項目之全部或一部，予以停止派案；停止派案期間有特約到期情形者，以特約到期日為停止派案期限屆至日。前述停止派案，每記 </w:t>
            </w:r>
            <w:r>
              <w:rPr>
                <w:sz w:val="28"/>
              </w:rPr>
              <w:t>1</w:t>
            </w:r>
            <w:r>
              <w:rPr>
                <w:spacing w:val="-11"/>
                <w:sz w:val="28"/>
              </w:rPr>
              <w:t> 點停止派案 </w:t>
            </w:r>
            <w:r>
              <w:rPr>
                <w:sz w:val="28"/>
              </w:rPr>
              <w:t>30</w:t>
            </w:r>
            <w:r>
              <w:rPr>
                <w:spacing w:val="-6"/>
                <w:sz w:val="28"/>
              </w:rPr>
              <w:t> 日，每次至多停止派案</w:t>
            </w:r>
          </w:p>
          <w:p>
            <w:pPr>
              <w:pStyle w:val="TableParagraph"/>
              <w:spacing w:line="295" w:lineRule="auto"/>
              <w:ind w:left="311" w:right="209"/>
              <w:jc w:val="both"/>
              <w:rPr>
                <w:sz w:val="28"/>
              </w:rPr>
            </w:pPr>
            <w:r>
              <w:rPr>
                <w:spacing w:val="-12"/>
                <w:sz w:val="28"/>
              </w:rPr>
              <w:t>180</w:t>
            </w:r>
            <w:r>
              <w:rPr>
                <w:spacing w:val="-16"/>
                <w:sz w:val="28"/>
              </w:rPr>
              <w:t> 日，如記點達 </w:t>
            </w:r>
            <w:r>
              <w:rPr>
                <w:spacing w:val="-12"/>
                <w:sz w:val="28"/>
              </w:rPr>
              <w:t>1</w:t>
            </w:r>
            <w:r>
              <w:rPr>
                <w:spacing w:val="-16"/>
                <w:sz w:val="28"/>
              </w:rPr>
              <w:t> 點者，停止派案 </w:t>
            </w:r>
            <w:r>
              <w:rPr>
                <w:spacing w:val="-12"/>
                <w:sz w:val="28"/>
              </w:rPr>
              <w:t>30</w:t>
            </w:r>
            <w:r>
              <w:rPr>
                <w:spacing w:val="-17"/>
                <w:sz w:val="28"/>
              </w:rPr>
              <w:t> 日，記點達 </w:t>
            </w:r>
            <w:r>
              <w:rPr>
                <w:spacing w:val="-12"/>
                <w:sz w:val="28"/>
              </w:rPr>
              <w:t>2</w:t>
            </w:r>
            <w:r>
              <w:rPr>
                <w:spacing w:val="-16"/>
                <w:sz w:val="28"/>
              </w:rPr>
              <w:t> 點者，停止派案 </w:t>
            </w:r>
            <w:r>
              <w:rPr>
                <w:spacing w:val="-12"/>
                <w:sz w:val="28"/>
              </w:rPr>
              <w:t>60</w:t>
            </w:r>
            <w:r>
              <w:rPr>
                <w:spacing w:val="-15"/>
                <w:sz w:val="28"/>
              </w:rPr>
              <w:t> 日，以</w:t>
            </w:r>
            <w:r>
              <w:rPr>
                <w:spacing w:val="-4"/>
                <w:sz w:val="28"/>
              </w:rPr>
              <w:t>此類推。</w:t>
            </w:r>
          </w:p>
          <w:p>
            <w:pPr>
              <w:pStyle w:val="TableParagraph"/>
              <w:spacing w:line="324" w:lineRule="exact"/>
              <w:jc w:val="both"/>
              <w:rPr>
                <w:sz w:val="28"/>
              </w:rPr>
            </w:pPr>
            <w:r>
              <w:rPr>
                <w:position w:val="14"/>
                <w:sz w:val="14"/>
              </w:rPr>
              <w:t>2</w:t>
            </w:r>
            <w:r>
              <w:rPr>
                <w:spacing w:val="-55"/>
                <w:position w:val="14"/>
                <w:sz w:val="14"/>
              </w:rPr>
              <w:t> </w:t>
            </w:r>
            <w:r>
              <w:rPr>
                <w:spacing w:val="13"/>
                <w:sz w:val="28"/>
              </w:rPr>
              <w:t>乙方依法應接受評鑑者，於最近一次評鑑結果不合格或評鑑等第丙等以</w:t>
            </w:r>
          </w:p>
          <w:p>
            <w:pPr>
              <w:pStyle w:val="TableParagraph"/>
              <w:spacing w:line="266" w:lineRule="auto" w:before="36"/>
              <w:ind w:left="347" w:right="99"/>
              <w:jc w:val="both"/>
              <w:rPr>
                <w:sz w:val="28"/>
              </w:rPr>
            </w:pPr>
            <w:r>
              <w:rPr>
                <w:spacing w:val="-2"/>
                <w:sz w:val="28"/>
              </w:rPr>
              <w:t>下，且主管機關給予改善期間，或有第十一條第一款至第四款或第七款至第九款情形之一者，甲方得定一定期間，停止派案；乙方依本法第四十八條之一停止派案者，亦同。</w:t>
            </w:r>
          </w:p>
          <w:p>
            <w:pPr>
              <w:pStyle w:val="TableParagraph"/>
              <w:spacing w:line="266" w:lineRule="auto" w:before="6"/>
              <w:ind w:left="347" w:right="97" w:firstLine="562"/>
              <w:jc w:val="both"/>
              <w:rPr>
                <w:sz w:val="28"/>
              </w:rPr>
            </w:pPr>
            <w:r>
              <w:rPr>
                <w:position w:val="14"/>
                <w:sz w:val="14"/>
              </w:rPr>
              <w:t>3</w:t>
            </w:r>
            <w:r>
              <w:rPr>
                <w:spacing w:val="-18"/>
                <w:position w:val="14"/>
                <w:sz w:val="14"/>
              </w:rPr>
              <w:t> </w:t>
            </w:r>
            <w:r>
              <w:rPr>
                <w:spacing w:val="13"/>
                <w:sz w:val="28"/>
              </w:rPr>
              <w:t>乙方有第十一條第五款、第六款或第十款情形之一者，甲方得定一定期</w:t>
            </w:r>
            <w:r>
              <w:rPr>
                <w:spacing w:val="-2"/>
                <w:sz w:val="28"/>
              </w:rPr>
              <w:t>間，減少派案。該一定期間為15日，減少派案期間如有契約到期之情形，減少派案至契約到期日止。</w:t>
            </w:r>
          </w:p>
          <w:p>
            <w:pPr>
              <w:pStyle w:val="TableParagraph"/>
              <w:spacing w:before="6"/>
              <w:jc w:val="both"/>
              <w:rPr>
                <w:sz w:val="28"/>
              </w:rPr>
            </w:pPr>
            <w:r>
              <w:rPr>
                <w:position w:val="14"/>
                <w:sz w:val="14"/>
              </w:rPr>
              <w:t>4</w:t>
            </w:r>
            <w:r>
              <w:rPr>
                <w:spacing w:val="-55"/>
                <w:position w:val="14"/>
                <w:sz w:val="14"/>
              </w:rPr>
              <w:t> </w:t>
            </w:r>
            <w:r>
              <w:rPr>
                <w:spacing w:val="13"/>
                <w:sz w:val="28"/>
              </w:rPr>
              <w:t>前三項停止或減少派案期間之始日，以甲方照管中心通知日或指定日為</w:t>
            </w:r>
          </w:p>
          <w:p>
            <w:pPr>
              <w:pStyle w:val="TableParagraph"/>
              <w:spacing w:before="42"/>
              <w:ind w:left="347"/>
              <w:rPr>
                <w:sz w:val="28"/>
              </w:rPr>
            </w:pPr>
            <w:r>
              <w:rPr>
                <w:spacing w:val="-5"/>
                <w:sz w:val="28"/>
              </w:rPr>
              <w:t>準。</w:t>
            </w:r>
          </w:p>
          <w:p>
            <w:pPr>
              <w:pStyle w:val="TableParagraph"/>
              <w:spacing w:line="268" w:lineRule="auto" w:before="39"/>
              <w:ind w:left="347" w:right="99" w:firstLine="562"/>
              <w:rPr>
                <w:sz w:val="28"/>
              </w:rPr>
            </w:pPr>
            <w:r>
              <w:rPr>
                <w:position w:val="14"/>
                <w:sz w:val="14"/>
              </w:rPr>
              <w:t>5</w:t>
            </w:r>
            <w:r>
              <w:rPr>
                <w:spacing w:val="-51"/>
                <w:position w:val="14"/>
                <w:sz w:val="14"/>
              </w:rPr>
              <w:t> </w:t>
            </w:r>
            <w:r>
              <w:rPr>
                <w:spacing w:val="17"/>
                <w:sz w:val="28"/>
              </w:rPr>
              <w:t>停止或減少派案，甲方停止新案派案(乙方不得自行開發新案或接受轉</w:t>
            </w:r>
            <w:r>
              <w:rPr>
                <w:spacing w:val="-2"/>
                <w:sz w:val="28"/>
              </w:rPr>
              <w:t>案)，每次記點甲方以書面通知。</w:t>
            </w:r>
          </w:p>
          <w:p>
            <w:pPr>
              <w:pStyle w:val="TableParagraph"/>
              <w:spacing w:line="357" w:lineRule="exact"/>
              <w:rPr>
                <w:sz w:val="28"/>
              </w:rPr>
            </w:pPr>
            <w:r>
              <w:rPr>
                <w:position w:val="14"/>
                <w:sz w:val="14"/>
              </w:rPr>
              <w:t>6</w:t>
            </w:r>
            <w:r>
              <w:rPr>
                <w:spacing w:val="-1"/>
                <w:sz w:val="28"/>
              </w:rPr>
              <w:t>喘息服務停止派案，自公文上停派日起，倘有停派日前已開始提供服務之</w:t>
            </w:r>
          </w:p>
          <w:p>
            <w:pPr>
              <w:pStyle w:val="TableParagraph"/>
              <w:spacing w:line="266" w:lineRule="auto" w:before="40"/>
              <w:ind w:left="347" w:right="94"/>
              <w:jc w:val="both"/>
              <w:rPr>
                <w:sz w:val="28"/>
              </w:rPr>
            </w:pPr>
            <w:r>
              <w:rPr>
                <w:spacing w:val="-2"/>
                <w:sz w:val="28"/>
              </w:rPr>
              <w:t>連續性喘息服務(日期須連續者，起訖中含停派日)，為保障個案權益，得持續服</w:t>
            </w:r>
            <w:r>
              <w:rPr>
                <w:spacing w:val="-2"/>
                <w:sz w:val="28"/>
              </w:rPr>
              <w:t>務。其餘個案(如已照會每周、定期/不定期使用服務等)皆屬停派個案，請個管協助連結其他喘息服務單位，如遇民眾要求由停派單位服務，應委婉向民眾說明該單位目前暫時停派，並連結其他喘息服務單位。</w:t>
            </w:r>
          </w:p>
        </w:tc>
      </w:tr>
      <w:tr>
        <w:trPr>
          <w:trHeight w:val="2800" w:hRule="atLeast"/>
        </w:trPr>
        <w:tc>
          <w:tcPr>
            <w:tcW w:w="10267" w:type="dxa"/>
          </w:tcPr>
          <w:p>
            <w:pPr>
              <w:pStyle w:val="TableParagraph"/>
              <w:tabs>
                <w:tab w:pos="1790" w:val="left" w:leader="none"/>
              </w:tabs>
              <w:spacing w:line="406" w:lineRule="exact"/>
              <w:ind w:left="107"/>
              <w:rPr>
                <w:rFonts w:ascii="Microsoft JhengHei" w:eastAsia="Microsoft JhengHei"/>
                <w:b/>
                <w:sz w:val="28"/>
              </w:rPr>
            </w:pPr>
            <w:r>
              <w:rPr>
                <w:rFonts w:ascii="Microsoft JhengHei" w:eastAsia="Microsoft JhengHei"/>
                <w:b/>
                <w:sz w:val="28"/>
              </w:rPr>
              <w:t>第二十四</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契約終止及個案安</w:t>
            </w:r>
            <w:r>
              <w:rPr>
                <w:rFonts w:ascii="Microsoft JhengHei" w:eastAsia="Microsoft JhengHei"/>
                <w:b/>
                <w:spacing w:val="-10"/>
                <w:sz w:val="28"/>
              </w:rPr>
              <w:t>置</w:t>
            </w:r>
          </w:p>
          <w:p>
            <w:pPr>
              <w:pStyle w:val="TableParagraph"/>
              <w:spacing w:line="446" w:lineRule="exact"/>
              <w:ind w:left="907"/>
              <w:rPr>
                <w:sz w:val="28"/>
              </w:rPr>
            </w:pPr>
            <w:r>
              <w:rPr>
                <w:spacing w:val="-2"/>
                <w:position w:val="14"/>
                <w:sz w:val="14"/>
              </w:rPr>
              <w:t>1</w:t>
            </w:r>
            <w:r>
              <w:rPr>
                <w:spacing w:val="-2"/>
                <w:sz w:val="28"/>
              </w:rPr>
              <w:t>乙方有下列情事之一者，甲方</w:t>
            </w:r>
            <w:r>
              <w:rPr>
                <w:rFonts w:ascii="Microsoft JhengHei" w:eastAsia="Microsoft JhengHei"/>
                <w:b/>
                <w:spacing w:val="-2"/>
                <w:sz w:val="28"/>
              </w:rPr>
              <w:t>應予</w:t>
            </w:r>
            <w:r>
              <w:rPr>
                <w:spacing w:val="-4"/>
                <w:sz w:val="28"/>
              </w:rPr>
              <w:t>終止特約：</w:t>
            </w:r>
          </w:p>
          <w:p>
            <w:pPr>
              <w:pStyle w:val="TableParagraph"/>
              <w:numPr>
                <w:ilvl w:val="0"/>
                <w:numId w:val="24"/>
              </w:numPr>
              <w:tabs>
                <w:tab w:pos="1183" w:val="left" w:leader="none"/>
                <w:tab w:pos="1185" w:val="left" w:leader="none"/>
              </w:tabs>
              <w:spacing w:line="268" w:lineRule="auto" w:before="0" w:after="0"/>
              <w:ind w:left="1185" w:right="158" w:hanging="567"/>
              <w:jc w:val="left"/>
              <w:rPr>
                <w:sz w:val="28"/>
              </w:rPr>
            </w:pPr>
            <w:r>
              <w:rPr>
                <w:spacing w:val="3"/>
                <w:w w:val="100"/>
                <w:sz w:val="28"/>
              </w:rPr>
              <w:t>歇業或遷移。但乙方屬到宅提供服務，於同一行政區域內遷移且未變更</w:t>
            </w:r>
            <w:r>
              <w:rPr>
                <w:spacing w:val="-3"/>
                <w:w w:val="100"/>
                <w:sz w:val="28"/>
              </w:rPr>
              <w:t>其他登記事項者，不在此限。</w:t>
            </w:r>
          </w:p>
          <w:p>
            <w:pPr>
              <w:pStyle w:val="TableParagraph"/>
              <w:numPr>
                <w:ilvl w:val="0"/>
                <w:numId w:val="24"/>
              </w:numPr>
              <w:tabs>
                <w:tab w:pos="1184" w:val="left" w:leader="none"/>
              </w:tabs>
              <w:spacing w:line="354" w:lineRule="exact" w:before="0" w:after="0"/>
              <w:ind w:left="1184" w:right="0" w:hanging="565"/>
              <w:jc w:val="left"/>
              <w:rPr>
                <w:sz w:val="28"/>
              </w:rPr>
            </w:pPr>
            <w:r>
              <w:rPr>
                <w:spacing w:val="-4"/>
                <w:sz w:val="28"/>
              </w:rPr>
              <w:t>受停業處分。</w:t>
            </w:r>
          </w:p>
          <w:p>
            <w:pPr>
              <w:pStyle w:val="TableParagraph"/>
              <w:numPr>
                <w:ilvl w:val="0"/>
                <w:numId w:val="24"/>
              </w:numPr>
              <w:tabs>
                <w:tab w:pos="1184" w:val="left" w:leader="none"/>
              </w:tabs>
              <w:spacing w:line="240" w:lineRule="auto" w:before="31" w:after="0"/>
              <w:ind w:left="1184" w:right="0" w:hanging="565"/>
              <w:jc w:val="left"/>
              <w:rPr>
                <w:sz w:val="28"/>
              </w:rPr>
            </w:pPr>
            <w:r>
              <w:rPr>
                <w:spacing w:val="-3"/>
                <w:sz w:val="28"/>
              </w:rPr>
              <w:t>經主管機關撤銷或廢止設立許可。</w:t>
            </w:r>
          </w:p>
          <w:p>
            <w:pPr>
              <w:pStyle w:val="TableParagraph"/>
              <w:numPr>
                <w:ilvl w:val="0"/>
                <w:numId w:val="24"/>
              </w:numPr>
              <w:tabs>
                <w:tab w:pos="1184" w:val="left" w:leader="none"/>
              </w:tabs>
              <w:spacing w:line="339" w:lineRule="exact" w:before="42" w:after="0"/>
              <w:ind w:left="1184" w:right="0" w:hanging="565"/>
              <w:jc w:val="left"/>
              <w:rPr>
                <w:sz w:val="28"/>
              </w:rPr>
            </w:pPr>
            <w:r>
              <w:rPr>
                <w:spacing w:val="-3"/>
                <w:sz w:val="28"/>
              </w:rPr>
              <w:t>虛報、浮報服務費用，情節重大。</w:t>
            </w:r>
          </w:p>
        </w:tc>
      </w:tr>
    </w:tbl>
    <w:p>
      <w:pPr>
        <w:rPr>
          <w:sz w:val="2"/>
          <w:szCs w:val="2"/>
        </w:rPr>
      </w:pPr>
      <w:r>
        <w:rPr>
          <w:sz w:val="2"/>
          <w:szCs w:val="2"/>
        </w:rPr>
        <mc:AlternateContent>
          <mc:Choice Requires="wps">
            <w:drawing>
              <wp:anchor distT="0" distB="0" distL="0" distR="0" allowOverlap="1" layoutInCell="1" locked="0" behindDoc="1" simplePos="0" relativeHeight="487171584">
                <wp:simplePos x="0" y="0"/>
                <wp:positionH relativeFrom="page">
                  <wp:posOffset>5426709</wp:posOffset>
                </wp:positionH>
                <wp:positionV relativeFrom="page">
                  <wp:posOffset>8634729</wp:posOffset>
                </wp:positionV>
                <wp:extent cx="2125345" cy="2054225"/>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2125345" cy="2054225"/>
                          <a:chExt cx="2125345" cy="2054225"/>
                        </a:xfrm>
                      </wpg:grpSpPr>
                      <wps:wsp>
                        <wps:cNvPr id="48" name="Graphic 48"/>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49" name="Textbox 49"/>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16</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4896" id="docshapegroup47" coordorigin="8546,13598" coordsize="3347,3235">
                <v:shape style="position:absolute;left:8546;top:13598;width:3347;height:3235" id="docshape48" coordorigin="8546,13598" coordsize="3347,3235" path="m11893,13598l8546,16833,11893,16833,11893,13598xe" filled="true" fillcolor="#d2eaf0" stroked="false">
                  <v:path arrowok="t"/>
                  <v:fill type="solid"/>
                </v:shape>
                <v:shape style="position:absolute;left:8546;top:13598;width:3347;height:3235" type="#_x0000_t202" id="docshape49"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16</w:t>
                        </w:r>
                      </w:p>
                    </w:txbxContent>
                  </v:textbox>
                  <w10:wrap type="none"/>
                </v:shape>
                <w10:wrap type="none"/>
              </v:group>
            </w:pict>
          </mc:Fallback>
        </mc:AlternateContent>
      </w:r>
    </w:p>
    <w:p>
      <w:pPr>
        <w:spacing w:after="0"/>
        <w:rPr>
          <w:sz w:val="2"/>
          <w:szCs w:val="2"/>
        </w:rPr>
        <w:sectPr>
          <w:type w:val="continuous"/>
          <w:pgSz w:w="11910" w:h="16840"/>
          <w:pgMar w:header="882" w:footer="0" w:top="1120" w:bottom="1627"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8400" w:hRule="atLeast"/>
        </w:trPr>
        <w:tc>
          <w:tcPr>
            <w:tcW w:w="10267" w:type="dxa"/>
          </w:tcPr>
          <w:p>
            <w:pPr>
              <w:pStyle w:val="TableParagraph"/>
              <w:numPr>
                <w:ilvl w:val="0"/>
                <w:numId w:val="25"/>
              </w:numPr>
              <w:tabs>
                <w:tab w:pos="1183" w:val="left" w:leader="none"/>
                <w:tab w:pos="1185" w:val="left" w:leader="none"/>
              </w:tabs>
              <w:spacing w:line="268" w:lineRule="auto" w:before="42" w:after="0"/>
              <w:ind w:left="1185" w:right="147" w:hanging="567"/>
              <w:jc w:val="left"/>
              <w:rPr>
                <w:sz w:val="28"/>
              </w:rPr>
            </w:pPr>
            <w:r>
              <w:rPr>
                <w:spacing w:val="4"/>
                <w:w w:val="100"/>
                <w:sz w:val="28"/>
              </w:rPr>
              <w:t>依法應接受評鑑者，其最近一次評鑑結果不合格或評鑑等第丙等以下，</w:t>
            </w:r>
            <w:r>
              <w:rPr>
                <w:spacing w:val="-3"/>
                <w:w w:val="100"/>
                <w:sz w:val="28"/>
              </w:rPr>
              <w:t>經令其限期改善而屆期未改善。</w:t>
            </w:r>
          </w:p>
          <w:p>
            <w:pPr>
              <w:pStyle w:val="TableParagraph"/>
              <w:numPr>
                <w:ilvl w:val="0"/>
                <w:numId w:val="25"/>
              </w:numPr>
              <w:tabs>
                <w:tab w:pos="1184" w:val="left" w:leader="none"/>
              </w:tabs>
              <w:spacing w:line="354" w:lineRule="exact" w:before="0" w:after="0"/>
              <w:ind w:left="1184" w:right="0" w:hanging="565"/>
              <w:jc w:val="left"/>
              <w:rPr>
                <w:sz w:val="28"/>
              </w:rPr>
            </w:pPr>
            <w:r>
              <w:rPr>
                <w:spacing w:val="-3"/>
                <w:sz w:val="28"/>
              </w:rPr>
              <w:t>違反第十五條之派案時效或停止服務，經令其限期改善而屆期未改善。</w:t>
            </w:r>
          </w:p>
          <w:p>
            <w:pPr>
              <w:pStyle w:val="TableParagraph"/>
              <w:numPr>
                <w:ilvl w:val="0"/>
                <w:numId w:val="25"/>
              </w:numPr>
              <w:tabs>
                <w:tab w:pos="1184" w:val="left" w:leader="none"/>
              </w:tabs>
              <w:spacing w:line="240" w:lineRule="auto" w:before="42" w:after="0"/>
              <w:ind w:left="1184" w:right="0" w:hanging="565"/>
              <w:jc w:val="left"/>
              <w:rPr>
                <w:sz w:val="28"/>
              </w:rPr>
            </w:pPr>
            <w:r>
              <w:rPr>
                <w:spacing w:val="-3"/>
                <w:sz w:val="28"/>
              </w:rPr>
              <w:t>本法第四十八條之一所定情節重大情形。</w:t>
            </w:r>
          </w:p>
          <w:p>
            <w:pPr>
              <w:pStyle w:val="TableParagraph"/>
              <w:numPr>
                <w:ilvl w:val="0"/>
                <w:numId w:val="25"/>
              </w:numPr>
              <w:tabs>
                <w:tab w:pos="1183" w:val="left" w:leader="none"/>
                <w:tab w:pos="1185" w:val="left" w:leader="none"/>
              </w:tabs>
              <w:spacing w:line="266" w:lineRule="auto" w:before="42" w:after="0"/>
              <w:ind w:left="1185" w:right="148" w:hanging="567"/>
              <w:jc w:val="left"/>
              <w:rPr>
                <w:sz w:val="28"/>
              </w:rPr>
            </w:pPr>
            <w:r>
              <w:rPr>
                <w:spacing w:val="4"/>
                <w:w w:val="100"/>
                <w:sz w:val="28"/>
              </w:rPr>
              <w:t>違反特管辦法第二十二條規定，未依特約約定確保社員之勞動條件，情</w:t>
            </w:r>
            <w:r>
              <w:rPr>
                <w:w w:val="100"/>
                <w:sz w:val="28"/>
              </w:rPr>
              <w:t>節重大。</w:t>
            </w:r>
          </w:p>
          <w:p>
            <w:pPr>
              <w:pStyle w:val="TableParagraph"/>
              <w:numPr>
                <w:ilvl w:val="0"/>
                <w:numId w:val="25"/>
              </w:numPr>
              <w:tabs>
                <w:tab w:pos="1183" w:val="left" w:leader="none"/>
                <w:tab w:pos="1185" w:val="left" w:leader="none"/>
              </w:tabs>
              <w:spacing w:line="268" w:lineRule="auto" w:before="2" w:after="0"/>
              <w:ind w:left="1185" w:right="158" w:hanging="567"/>
              <w:jc w:val="left"/>
              <w:rPr>
                <w:sz w:val="28"/>
              </w:rPr>
            </w:pPr>
            <w:r>
              <w:rPr>
                <w:spacing w:val="3"/>
                <w:w w:val="100"/>
                <w:sz w:val="28"/>
              </w:rPr>
              <w:t>有第十九條至第二十二條規定情形之一，予以記點，自第一次記點之日</w:t>
            </w:r>
            <w:r>
              <w:rPr>
                <w:spacing w:val="-3"/>
                <w:w w:val="100"/>
                <w:sz w:val="28"/>
              </w:rPr>
              <w:t>起算一年內累計達六點，或連續三年每年均有記點紀錄並累計達十點。</w:t>
            </w:r>
          </w:p>
          <w:p>
            <w:pPr>
              <w:pStyle w:val="TableParagraph"/>
              <w:numPr>
                <w:ilvl w:val="0"/>
                <w:numId w:val="25"/>
              </w:numPr>
              <w:tabs>
                <w:tab w:pos="1183" w:val="left" w:leader="none"/>
                <w:tab w:pos="1185" w:val="left" w:leader="none"/>
              </w:tabs>
              <w:spacing w:line="268" w:lineRule="auto" w:before="0" w:after="0"/>
              <w:ind w:left="1185" w:right="158" w:hanging="567"/>
              <w:jc w:val="left"/>
              <w:rPr>
                <w:sz w:val="28"/>
              </w:rPr>
            </w:pPr>
            <w:r>
              <w:rPr>
                <w:spacing w:val="3"/>
                <w:w w:val="100"/>
                <w:sz w:val="28"/>
              </w:rPr>
              <w:t>對個案有遺棄、身心虐待、歧視、傷害、違法限制其人身自由或其他侵</w:t>
            </w:r>
            <w:r>
              <w:rPr>
                <w:spacing w:val="-3"/>
                <w:w w:val="100"/>
                <w:sz w:val="28"/>
              </w:rPr>
              <w:t>害其權益之情事，經緩起訴或有罪判決確定。</w:t>
            </w:r>
          </w:p>
          <w:p>
            <w:pPr>
              <w:pStyle w:val="TableParagraph"/>
              <w:numPr>
                <w:ilvl w:val="0"/>
                <w:numId w:val="25"/>
              </w:numPr>
              <w:tabs>
                <w:tab w:pos="1468" w:val="left" w:leader="none"/>
              </w:tabs>
              <w:spacing w:line="357" w:lineRule="exact" w:before="0" w:after="0"/>
              <w:ind w:left="1468" w:right="0" w:hanging="849"/>
              <w:jc w:val="left"/>
              <w:rPr>
                <w:sz w:val="28"/>
              </w:rPr>
            </w:pPr>
            <w:r>
              <w:rPr>
                <w:spacing w:val="-3"/>
                <w:sz w:val="28"/>
              </w:rPr>
              <w:t>其他違反特約約定致影響個案之權益，情節重大。</w:t>
            </w:r>
          </w:p>
          <w:p>
            <w:pPr>
              <w:pStyle w:val="TableParagraph"/>
              <w:spacing w:before="36"/>
              <w:rPr>
                <w:sz w:val="28"/>
              </w:rPr>
            </w:pPr>
            <w:r>
              <w:rPr>
                <w:position w:val="14"/>
                <w:sz w:val="14"/>
              </w:rPr>
              <w:t>2</w:t>
            </w:r>
            <w:r>
              <w:rPr>
                <w:spacing w:val="-1"/>
                <w:sz w:val="28"/>
              </w:rPr>
              <w:t>甲方得按情節，就乙方違反前項規定之全部或一部之長照服務給付項目，</w:t>
            </w:r>
          </w:p>
          <w:p>
            <w:pPr>
              <w:pStyle w:val="TableParagraph"/>
              <w:spacing w:before="42"/>
              <w:ind w:left="347"/>
              <w:rPr>
                <w:sz w:val="28"/>
              </w:rPr>
            </w:pPr>
            <w:r>
              <w:rPr>
                <w:spacing w:val="-4"/>
                <w:sz w:val="28"/>
              </w:rPr>
              <w:t>予以終止特約。</w:t>
            </w:r>
          </w:p>
          <w:p>
            <w:pPr>
              <w:pStyle w:val="TableParagraph"/>
              <w:spacing w:before="42"/>
              <w:ind w:left="907"/>
              <w:rPr>
                <w:sz w:val="28"/>
              </w:rPr>
            </w:pPr>
            <w:r>
              <w:rPr>
                <w:position w:val="14"/>
                <w:sz w:val="14"/>
              </w:rPr>
              <w:t>3</w:t>
            </w:r>
            <w:r>
              <w:rPr>
                <w:spacing w:val="-1"/>
                <w:sz w:val="28"/>
              </w:rPr>
              <w:t>乙方應於契約終止之日起三十日內，對其服務個案予以適當轉介或安置，</w:t>
            </w:r>
          </w:p>
          <w:p>
            <w:pPr>
              <w:pStyle w:val="TableParagraph"/>
              <w:spacing w:line="268" w:lineRule="auto" w:before="40"/>
              <w:ind w:left="347" w:right="99"/>
              <w:jc w:val="both"/>
              <w:rPr>
                <w:sz w:val="28"/>
              </w:rPr>
            </w:pPr>
            <w:r>
              <w:rPr>
                <w:spacing w:val="6"/>
                <w:w w:val="100"/>
                <w:sz w:val="28"/>
              </w:rPr>
              <w:t>並依特管辦法第十七條第三項規定，將全部個案之相關紀錄及個案清冊移交甲</w:t>
            </w:r>
            <w:r>
              <w:rPr>
                <w:spacing w:val="-4"/>
                <w:w w:val="100"/>
                <w:sz w:val="28"/>
              </w:rPr>
              <w:t>方；乙方無法轉介或安置者，由甲方協助轉介或安置，乙方應予配合；不予配合</w:t>
            </w:r>
            <w:r>
              <w:rPr>
                <w:spacing w:val="-3"/>
                <w:w w:val="100"/>
                <w:sz w:val="28"/>
              </w:rPr>
              <w:t>者，由甲方強制實施之，乙方不得提出任何異議或要求賠償或補償。</w:t>
            </w:r>
          </w:p>
          <w:p>
            <w:pPr>
              <w:pStyle w:val="TableParagraph"/>
              <w:spacing w:line="354" w:lineRule="exact"/>
              <w:rPr>
                <w:sz w:val="28"/>
              </w:rPr>
            </w:pPr>
            <w:r>
              <w:rPr>
                <w:position w:val="14"/>
                <w:sz w:val="14"/>
              </w:rPr>
              <w:t>4</w:t>
            </w:r>
            <w:r>
              <w:rPr>
                <w:spacing w:val="-1"/>
                <w:sz w:val="28"/>
              </w:rPr>
              <w:t>個案尚未接受適當之處置前，乙方為最後一次服務費用申報，甲方之審查</w:t>
            </w:r>
          </w:p>
          <w:p>
            <w:pPr>
              <w:pStyle w:val="TableParagraph"/>
              <w:spacing w:before="42"/>
              <w:ind w:left="347"/>
              <w:rPr>
                <w:sz w:val="28"/>
              </w:rPr>
            </w:pPr>
            <w:r>
              <w:rPr>
                <w:spacing w:val="-3"/>
                <w:sz w:val="28"/>
              </w:rPr>
              <w:t>及服務費用支付，得不受第六條第五項審查及支付期限之限制。</w:t>
            </w:r>
          </w:p>
          <w:p>
            <w:pPr>
              <w:pStyle w:val="TableParagraph"/>
              <w:spacing w:before="42"/>
              <w:ind w:left="907"/>
              <w:rPr>
                <w:sz w:val="28"/>
              </w:rPr>
            </w:pPr>
            <w:r>
              <w:rPr>
                <w:position w:val="14"/>
                <w:sz w:val="14"/>
              </w:rPr>
              <w:t>5</w:t>
            </w:r>
            <w:r>
              <w:rPr>
                <w:spacing w:val="-1"/>
                <w:sz w:val="28"/>
              </w:rPr>
              <w:t>本契約自終止之日起，甲乙雙方之權利義務即行消滅，惟仍須互負相關之</w:t>
            </w:r>
          </w:p>
          <w:p>
            <w:pPr>
              <w:pStyle w:val="TableParagraph"/>
              <w:spacing w:line="339" w:lineRule="exact" w:before="40"/>
              <w:ind w:left="347"/>
              <w:rPr>
                <w:sz w:val="28"/>
              </w:rPr>
            </w:pPr>
            <w:r>
              <w:rPr>
                <w:spacing w:val="-4"/>
                <w:sz w:val="28"/>
              </w:rPr>
              <w:t>保密義務。</w:t>
            </w:r>
          </w:p>
        </w:tc>
      </w:tr>
      <w:tr>
        <w:trPr>
          <w:trHeight w:val="2800" w:hRule="atLeast"/>
        </w:trPr>
        <w:tc>
          <w:tcPr>
            <w:tcW w:w="10267" w:type="dxa"/>
          </w:tcPr>
          <w:p>
            <w:pPr>
              <w:pStyle w:val="TableParagraph"/>
              <w:tabs>
                <w:tab w:pos="1790" w:val="left" w:leader="none"/>
              </w:tabs>
              <w:spacing w:line="453" w:lineRule="exact"/>
              <w:ind w:left="107"/>
              <w:rPr>
                <w:rFonts w:ascii="Microsoft JhengHei" w:eastAsia="Microsoft JhengHei"/>
                <w:b/>
                <w:sz w:val="28"/>
              </w:rPr>
            </w:pPr>
            <w:r>
              <w:rPr>
                <w:rFonts w:ascii="Microsoft JhengHei" w:eastAsia="Microsoft JhengHei"/>
                <w:b/>
                <w:sz w:val="28"/>
              </w:rPr>
              <w:t>第二十五</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乙方不服甲方依特管辦法規定所為之處置時，得申請複</w:t>
            </w:r>
            <w:r>
              <w:rPr>
                <w:rFonts w:ascii="Microsoft JhengHei" w:eastAsia="Microsoft JhengHei"/>
                <w:b/>
                <w:spacing w:val="-10"/>
                <w:sz w:val="28"/>
              </w:rPr>
              <w:t>核</w:t>
            </w:r>
          </w:p>
          <w:p>
            <w:pPr>
              <w:pStyle w:val="TableParagraph"/>
              <w:spacing w:line="348" w:lineRule="exact"/>
              <w:ind w:left="907"/>
              <w:rPr>
                <w:sz w:val="28"/>
              </w:rPr>
            </w:pPr>
            <w:r>
              <w:rPr>
                <w:position w:val="14"/>
                <w:sz w:val="14"/>
              </w:rPr>
              <w:t>1</w:t>
            </w:r>
            <w:r>
              <w:rPr>
                <w:spacing w:val="-1"/>
                <w:sz w:val="28"/>
              </w:rPr>
              <w:t>甲方追償或扣抵服務費用、記點、停止或減少派案，或轉介服務對象、終</w:t>
            </w:r>
          </w:p>
          <w:p>
            <w:pPr>
              <w:pStyle w:val="TableParagraph"/>
              <w:spacing w:line="266" w:lineRule="auto" w:before="42"/>
              <w:ind w:left="347" w:right="98"/>
              <w:jc w:val="both"/>
              <w:rPr>
                <w:sz w:val="28"/>
              </w:rPr>
            </w:pPr>
            <w:r>
              <w:rPr>
                <w:spacing w:val="6"/>
                <w:w w:val="100"/>
                <w:sz w:val="28"/>
              </w:rPr>
              <w:t>止契約前，應先以書面通知乙方。乙方如有不服，應依特管辦法第三十七條規</w:t>
            </w:r>
            <w:r>
              <w:rPr>
                <w:spacing w:val="-4"/>
                <w:w w:val="100"/>
                <w:sz w:val="28"/>
              </w:rPr>
              <w:t>定，得於通知到達日起三十日內，以書面附具理由，向地方主管機關申請複核，</w:t>
            </w:r>
            <w:r>
              <w:rPr>
                <w:spacing w:val="-1"/>
                <w:w w:val="100"/>
                <w:sz w:val="28"/>
              </w:rPr>
              <w:t>並以一次為限。</w:t>
            </w:r>
          </w:p>
          <w:p>
            <w:pPr>
              <w:pStyle w:val="TableParagraph"/>
              <w:spacing w:before="6"/>
              <w:ind w:left="907"/>
              <w:rPr>
                <w:sz w:val="28"/>
              </w:rPr>
            </w:pPr>
            <w:r>
              <w:rPr>
                <w:position w:val="14"/>
                <w:sz w:val="14"/>
              </w:rPr>
              <w:t>2</w:t>
            </w:r>
            <w:r>
              <w:rPr>
                <w:spacing w:val="-1"/>
                <w:sz w:val="28"/>
              </w:rPr>
              <w:t>甲方應於收到乙方書面異議之日起三十日內重行審查違約事由；認其異議</w:t>
            </w:r>
          </w:p>
          <w:p>
            <w:pPr>
              <w:pStyle w:val="TableParagraph"/>
              <w:spacing w:line="339" w:lineRule="exact" w:before="39"/>
              <w:ind w:left="347"/>
              <w:rPr>
                <w:sz w:val="28"/>
              </w:rPr>
            </w:pPr>
            <w:r>
              <w:rPr>
                <w:spacing w:val="-3"/>
                <w:sz w:val="28"/>
              </w:rPr>
              <w:t>有理由者，應另行通知並為適當之處置。</w:t>
            </w:r>
          </w:p>
        </w:tc>
      </w:tr>
      <w:tr>
        <w:trPr>
          <w:trHeight w:val="2401" w:hRule="atLeast"/>
        </w:trPr>
        <w:tc>
          <w:tcPr>
            <w:tcW w:w="10267" w:type="dxa"/>
          </w:tcPr>
          <w:p>
            <w:pPr>
              <w:pStyle w:val="TableParagraph"/>
              <w:tabs>
                <w:tab w:pos="1790" w:val="left" w:leader="none"/>
              </w:tabs>
              <w:spacing w:line="453" w:lineRule="exact"/>
              <w:ind w:left="107"/>
              <w:rPr>
                <w:rFonts w:ascii="Microsoft JhengHei" w:eastAsia="Microsoft JhengHei"/>
                <w:b/>
                <w:sz w:val="28"/>
              </w:rPr>
            </w:pPr>
            <w:r>
              <w:rPr>
                <w:rFonts w:ascii="Microsoft JhengHei" w:eastAsia="Microsoft JhengHei"/>
                <w:b/>
                <w:sz w:val="28"/>
              </w:rPr>
              <w:t>第二十六</w:t>
            </w:r>
            <w:r>
              <w:rPr>
                <w:rFonts w:ascii="Microsoft JhengHei" w:eastAsia="Microsoft JhengHei"/>
                <w:b/>
                <w:spacing w:val="-10"/>
                <w:sz w:val="28"/>
              </w:rPr>
              <w:t>條</w:t>
            </w:r>
            <w:r>
              <w:rPr>
                <w:rFonts w:ascii="Microsoft JhengHei" w:eastAsia="Microsoft JhengHei"/>
                <w:b/>
                <w:sz w:val="28"/>
              </w:rPr>
              <w:tab/>
              <w:t>續</w:t>
            </w:r>
            <w:r>
              <w:rPr>
                <w:rFonts w:ascii="Microsoft JhengHei" w:eastAsia="Microsoft JhengHei"/>
                <w:b/>
                <w:spacing w:val="-10"/>
                <w:sz w:val="28"/>
              </w:rPr>
              <w:t>約</w:t>
            </w:r>
          </w:p>
          <w:p>
            <w:pPr>
              <w:pStyle w:val="TableParagraph"/>
              <w:spacing w:line="348" w:lineRule="exact"/>
              <w:ind w:left="907"/>
              <w:rPr>
                <w:sz w:val="28"/>
              </w:rPr>
            </w:pPr>
            <w:r>
              <w:rPr>
                <w:position w:val="14"/>
                <w:sz w:val="14"/>
              </w:rPr>
              <w:t>1</w:t>
            </w:r>
            <w:r>
              <w:rPr>
                <w:spacing w:val="-1"/>
                <w:sz w:val="28"/>
              </w:rPr>
              <w:t>甲方及乙方於第三條契約效期屆滿前九十日前，得逕以書面通知乙方限期</w:t>
            </w:r>
          </w:p>
          <w:p>
            <w:pPr>
              <w:pStyle w:val="TableParagraph"/>
              <w:spacing w:line="268" w:lineRule="auto" w:before="39"/>
              <w:ind w:left="347" w:right="99"/>
              <w:rPr>
                <w:sz w:val="28"/>
              </w:rPr>
            </w:pPr>
            <w:r>
              <w:rPr>
                <w:spacing w:val="-2"/>
                <w:sz w:val="28"/>
              </w:rPr>
              <w:t>辦理續約；乙方於特約有效期間屆滿三十日前未為同意續約之意思表示時，視為不同意續約。但乙方有特管辦法第七條情形之一者，不予續約。</w:t>
            </w:r>
          </w:p>
          <w:p>
            <w:pPr>
              <w:pStyle w:val="TableParagraph"/>
              <w:spacing w:line="357" w:lineRule="exact"/>
              <w:ind w:left="907"/>
              <w:rPr>
                <w:sz w:val="28"/>
              </w:rPr>
            </w:pPr>
            <w:r>
              <w:rPr>
                <w:sz w:val="28"/>
              </w:rPr>
              <mc:AlternateContent>
                <mc:Choice Requires="wps">
                  <w:drawing>
                    <wp:anchor distT="0" distB="0" distL="0" distR="0" allowOverlap="1" layoutInCell="1" locked="0" behindDoc="1" simplePos="0" relativeHeight="487172608">
                      <wp:simplePos x="0" y="0"/>
                      <wp:positionH relativeFrom="column">
                        <wp:posOffset>576376</wp:posOffset>
                      </wp:positionH>
                      <wp:positionV relativeFrom="paragraph">
                        <wp:posOffset>5841</wp:posOffset>
                      </wp:positionV>
                      <wp:extent cx="5874385" cy="233679"/>
                      <wp:effectExtent l="0" t="0" r="0" b="0"/>
                      <wp:wrapNone/>
                      <wp:docPr id="50" name="Group 50"/>
                      <wp:cNvGraphicFramePr>
                        <a:graphicFrameLocks/>
                      </wp:cNvGraphicFramePr>
                      <a:graphic>
                        <a:graphicData uri="http://schemas.microsoft.com/office/word/2010/wordprocessingGroup">
                          <wpg:wgp>
                            <wpg:cNvPr id="50" name="Group 50"/>
                            <wpg:cNvGrpSpPr/>
                            <wpg:grpSpPr>
                              <a:xfrm>
                                <a:off x="0" y="0"/>
                                <a:ext cx="5874385" cy="233679"/>
                                <a:chExt cx="5874385" cy="233679"/>
                              </a:xfrm>
                            </wpg:grpSpPr>
                            <wps:wsp>
                              <wps:cNvPr id="51" name="Graphic 51"/>
                              <wps:cNvSpPr/>
                              <wps:spPr>
                                <a:xfrm>
                                  <a:off x="0" y="0"/>
                                  <a:ext cx="5874385" cy="233679"/>
                                </a:xfrm>
                                <a:custGeom>
                                  <a:avLst/>
                                  <a:gdLst/>
                                  <a:ahLst/>
                                  <a:cxnLst/>
                                  <a:rect l="l" t="t" r="r" b="b"/>
                                  <a:pathLst>
                                    <a:path w="5874385" h="233679">
                                      <a:moveTo>
                                        <a:pt x="5874385" y="0"/>
                                      </a:moveTo>
                                      <a:lnTo>
                                        <a:pt x="0" y="0"/>
                                      </a:lnTo>
                                      <a:lnTo>
                                        <a:pt x="0" y="233172"/>
                                      </a:lnTo>
                                      <a:lnTo>
                                        <a:pt x="5874385" y="233172"/>
                                      </a:lnTo>
                                      <a:lnTo>
                                        <a:pt x="587438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45.383999pt;margin-top:.459999pt;width:462.55pt;height:18.4pt;mso-position-horizontal-relative:column;mso-position-vertical-relative:paragraph;z-index:-16143872" id="docshapegroup50" coordorigin="908,9" coordsize="9251,368">
                      <v:rect style="position:absolute;left:907;top:9;width:9251;height:368" id="docshape51" filled="true" fillcolor="#ffffff" stroked="false">
                        <v:fill type="solid"/>
                      </v:rect>
                      <w10:wrap type="none"/>
                    </v:group>
                  </w:pict>
                </mc:Fallback>
              </mc:AlternateContent>
            </w:r>
            <w:r>
              <w:rPr>
                <w:position w:val="14"/>
                <w:sz w:val="14"/>
              </w:rPr>
              <w:t>2</w:t>
            </w:r>
            <w:r>
              <w:rPr>
                <w:spacing w:val="-1"/>
                <w:sz w:val="28"/>
              </w:rPr>
              <w:t>乙方有前項之特約期間屆滿後不予續約之情形者，甲方應即依第六條規定</w:t>
            </w:r>
          </w:p>
          <w:p>
            <w:pPr>
              <w:pStyle w:val="TableParagraph"/>
              <w:spacing w:line="341" w:lineRule="exact" w:before="40"/>
              <w:ind w:left="347"/>
              <w:rPr>
                <w:sz w:val="28"/>
              </w:rPr>
            </w:pPr>
            <w:r>
              <w:rPr>
                <w:spacing w:val="-3"/>
                <w:sz w:val="28"/>
              </w:rPr>
              <w:t>辦理服務費用之審查及支付及第二十四條辦理個案之處置。</w:t>
            </w:r>
          </w:p>
        </w:tc>
      </w:tr>
    </w:tbl>
    <w:p>
      <w:pPr>
        <w:rPr>
          <w:sz w:val="2"/>
          <w:szCs w:val="2"/>
        </w:rPr>
      </w:pPr>
      <w:r>
        <w:rPr>
          <w:sz w:val="2"/>
          <w:szCs w:val="2"/>
        </w:rPr>
        <mc:AlternateContent>
          <mc:Choice Requires="wps">
            <w:drawing>
              <wp:anchor distT="0" distB="0" distL="0" distR="0" allowOverlap="1" layoutInCell="1" locked="0" behindDoc="1" simplePos="0" relativeHeight="487172096">
                <wp:simplePos x="0" y="0"/>
                <wp:positionH relativeFrom="page">
                  <wp:posOffset>5426709</wp:posOffset>
                </wp:positionH>
                <wp:positionV relativeFrom="page">
                  <wp:posOffset>8634729</wp:posOffset>
                </wp:positionV>
                <wp:extent cx="2125345" cy="205422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2125345" cy="2054225"/>
                          <a:chExt cx="2125345" cy="2054225"/>
                        </a:xfrm>
                      </wpg:grpSpPr>
                      <wps:wsp>
                        <wps:cNvPr id="53" name="Graphic 53"/>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54" name="Textbox 54"/>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17</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4384" id="docshapegroup52" coordorigin="8546,13598" coordsize="3347,3235">
                <v:shape style="position:absolute;left:8546;top:13598;width:3347;height:3235" id="docshape53" coordorigin="8546,13598" coordsize="3347,3235" path="m11893,13598l8546,16833,11893,16833,11893,13598xe" filled="true" fillcolor="#d2eaf0" stroked="false">
                  <v:path arrowok="t"/>
                  <v:fill type="solid"/>
                </v:shape>
                <v:shape style="position:absolute;left:8546;top:13598;width:3347;height:3235" type="#_x0000_t202" id="docshape54"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17</w:t>
                        </w:r>
                      </w:p>
                    </w:txbxContent>
                  </v:textbox>
                  <w10:wrap type="none"/>
                </v:shape>
                <w10:wrap type="none"/>
              </v:group>
            </w:pict>
          </mc:Fallback>
        </mc:AlternateContent>
      </w:r>
    </w:p>
    <w:p>
      <w:pPr>
        <w:spacing w:after="0"/>
        <w:rPr>
          <w:sz w:val="2"/>
          <w:szCs w:val="2"/>
        </w:rPr>
        <w:sectPr>
          <w:type w:val="continuous"/>
          <w:pgSz w:w="11910" w:h="16840"/>
          <w:pgMar w:header="882" w:footer="0" w:top="1120" w:bottom="1468" w:left="708" w:right="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267"/>
      </w:tblGrid>
      <w:tr>
        <w:trPr>
          <w:trHeight w:val="400" w:hRule="atLeast"/>
        </w:trPr>
        <w:tc>
          <w:tcPr>
            <w:tcW w:w="10267" w:type="dxa"/>
          </w:tcPr>
          <w:p>
            <w:pPr>
              <w:pStyle w:val="TableParagraph"/>
              <w:spacing w:line="380" w:lineRule="exact"/>
              <w:ind w:left="7"/>
              <w:jc w:val="center"/>
              <w:rPr>
                <w:rFonts w:ascii="Microsoft JhengHei" w:eastAsia="Microsoft JhengHei"/>
                <w:b/>
                <w:sz w:val="28"/>
              </w:rPr>
            </w:pPr>
            <w:r>
              <w:rPr>
                <w:rFonts w:ascii="Microsoft JhengHei" w:eastAsia="Microsoft JhengHei"/>
                <w:b/>
                <w:spacing w:val="-3"/>
                <w:sz w:val="28"/>
              </w:rPr>
              <w:t>花蓮縣政府特約長期照顧服務契約書</w:t>
            </w:r>
          </w:p>
        </w:tc>
      </w:tr>
      <w:tr>
        <w:trPr>
          <w:trHeight w:val="4402" w:hRule="atLeast"/>
        </w:trPr>
        <w:tc>
          <w:tcPr>
            <w:tcW w:w="10267" w:type="dxa"/>
          </w:tcPr>
          <w:p>
            <w:pPr>
              <w:pStyle w:val="TableParagraph"/>
              <w:tabs>
                <w:tab w:pos="1790" w:val="left" w:leader="none"/>
              </w:tabs>
              <w:spacing w:line="453" w:lineRule="exact"/>
              <w:ind w:left="107"/>
              <w:rPr>
                <w:rFonts w:ascii="Microsoft JhengHei" w:eastAsia="Microsoft JhengHei"/>
                <w:b/>
                <w:sz w:val="28"/>
              </w:rPr>
            </w:pPr>
            <w:r>
              <w:rPr>
                <w:rFonts w:ascii="Microsoft JhengHei" w:eastAsia="Microsoft JhengHei"/>
                <w:b/>
                <w:sz w:val="28"/>
              </w:rPr>
              <w:t>第二十七</w:t>
            </w:r>
            <w:r>
              <w:rPr>
                <w:rFonts w:ascii="Microsoft JhengHei" w:eastAsia="Microsoft JhengHei"/>
                <w:b/>
                <w:spacing w:val="-10"/>
                <w:sz w:val="28"/>
              </w:rPr>
              <w:t>條</w:t>
            </w:r>
            <w:r>
              <w:rPr>
                <w:rFonts w:ascii="Microsoft JhengHei" w:eastAsia="Microsoft JhengHei"/>
                <w:b/>
                <w:sz w:val="28"/>
              </w:rPr>
              <w:tab/>
            </w:r>
            <w:r>
              <w:rPr>
                <w:rFonts w:ascii="Microsoft JhengHei" w:eastAsia="Microsoft JhengHei"/>
                <w:b/>
                <w:spacing w:val="-2"/>
                <w:sz w:val="28"/>
              </w:rPr>
              <w:t>爭議處</w:t>
            </w:r>
            <w:r>
              <w:rPr>
                <w:rFonts w:ascii="Microsoft JhengHei" w:eastAsia="Microsoft JhengHei"/>
                <w:b/>
                <w:spacing w:val="-10"/>
                <w:sz w:val="28"/>
              </w:rPr>
              <w:t>理</w:t>
            </w:r>
          </w:p>
          <w:p>
            <w:pPr>
              <w:pStyle w:val="TableParagraph"/>
              <w:spacing w:line="348" w:lineRule="exact"/>
              <w:ind w:left="907"/>
              <w:rPr>
                <w:sz w:val="28"/>
              </w:rPr>
            </w:pPr>
            <w:r>
              <w:rPr>
                <w:position w:val="14"/>
                <w:sz w:val="14"/>
              </w:rPr>
              <w:t>1</w:t>
            </w:r>
            <w:r>
              <w:rPr>
                <w:spacing w:val="-1"/>
                <w:sz w:val="28"/>
              </w:rPr>
              <w:t>甲方與乙方因履約而生爭議者，應依法令及契約規定，考量公共利益及公</w:t>
            </w:r>
          </w:p>
          <w:p>
            <w:pPr>
              <w:pStyle w:val="TableParagraph"/>
              <w:spacing w:line="268" w:lineRule="auto" w:before="39"/>
              <w:ind w:left="347" w:right="99"/>
              <w:rPr>
                <w:sz w:val="28"/>
              </w:rPr>
            </w:pPr>
            <w:r>
              <w:rPr>
                <w:spacing w:val="-2"/>
                <w:sz w:val="28"/>
              </w:rPr>
              <w:t>平合理，本誠信和諧，盡力協調解決之。其未能達成協議者，得以行政爭訟方式</w:t>
            </w:r>
            <w:r>
              <w:rPr>
                <w:spacing w:val="-4"/>
                <w:sz w:val="28"/>
              </w:rPr>
              <w:t>處理之。</w:t>
            </w:r>
          </w:p>
          <w:p>
            <w:pPr>
              <w:pStyle w:val="TableParagraph"/>
              <w:spacing w:line="357" w:lineRule="exact"/>
              <w:ind w:left="907"/>
              <w:rPr>
                <w:sz w:val="28"/>
              </w:rPr>
            </w:pPr>
            <w:r>
              <w:rPr>
                <w:spacing w:val="-2"/>
                <w:position w:val="14"/>
                <w:sz w:val="14"/>
              </w:rPr>
              <w:t>2</w:t>
            </w:r>
            <w:r>
              <w:rPr>
                <w:spacing w:val="-3"/>
                <w:sz w:val="28"/>
              </w:rPr>
              <w:t>履約爭議發生後，履約事項之處理原則如下：</w:t>
            </w:r>
          </w:p>
          <w:p>
            <w:pPr>
              <w:pStyle w:val="TableParagraph"/>
              <w:numPr>
                <w:ilvl w:val="0"/>
                <w:numId w:val="26"/>
              </w:numPr>
              <w:tabs>
                <w:tab w:pos="1275" w:val="left" w:leader="none"/>
                <w:tab w:pos="1277" w:val="left" w:leader="none"/>
              </w:tabs>
              <w:spacing w:line="268" w:lineRule="auto" w:before="40" w:after="0"/>
              <w:ind w:left="1277" w:right="160" w:hanging="567"/>
              <w:jc w:val="left"/>
              <w:rPr>
                <w:sz w:val="28"/>
              </w:rPr>
            </w:pPr>
            <w:r>
              <w:rPr>
                <w:spacing w:val="-2"/>
                <w:sz w:val="28"/>
              </w:rPr>
              <w:t>與爭議無關或不受影響之部分，乙方應繼續履約。但經甲方同意無須履約者，不在此限。</w:t>
            </w:r>
          </w:p>
          <w:p>
            <w:pPr>
              <w:pStyle w:val="TableParagraph"/>
              <w:numPr>
                <w:ilvl w:val="0"/>
                <w:numId w:val="26"/>
              </w:numPr>
              <w:tabs>
                <w:tab w:pos="1275" w:val="left" w:leader="none"/>
                <w:tab w:pos="1277" w:val="left" w:leader="none"/>
              </w:tabs>
              <w:spacing w:line="266" w:lineRule="auto" w:before="0" w:after="0"/>
              <w:ind w:left="1277" w:right="154" w:hanging="567"/>
              <w:jc w:val="left"/>
              <w:rPr>
                <w:sz w:val="28"/>
              </w:rPr>
            </w:pPr>
            <w:r>
              <w:rPr>
                <w:spacing w:val="-2"/>
                <w:sz w:val="28"/>
              </w:rPr>
              <w:t>於爭議期間，甲方得暫停照會或轉介服務對象予乙方；乙方服務中之個案，不因爭議影響服務。</w:t>
            </w:r>
          </w:p>
          <w:p>
            <w:pPr>
              <w:pStyle w:val="TableParagraph"/>
              <w:spacing w:before="1"/>
              <w:rPr>
                <w:sz w:val="28"/>
              </w:rPr>
            </w:pPr>
            <w:r>
              <w:rPr>
                <w:spacing w:val="-2"/>
                <w:position w:val="14"/>
                <w:sz w:val="14"/>
              </w:rPr>
              <w:t>3</w:t>
            </w:r>
            <w:r>
              <w:rPr>
                <w:spacing w:val="-3"/>
                <w:sz w:val="28"/>
              </w:rPr>
              <w:t>若履約爭議非屬可歸責乙方之事由，不適用前項第二款規定。</w:t>
            </w:r>
          </w:p>
          <w:p>
            <w:pPr>
              <w:pStyle w:val="TableParagraph"/>
              <w:spacing w:line="339" w:lineRule="exact" w:before="42"/>
              <w:rPr>
                <w:sz w:val="28"/>
              </w:rPr>
            </w:pPr>
            <w:r>
              <w:rPr>
                <w:spacing w:val="-2"/>
                <w:position w:val="14"/>
                <w:sz w:val="14"/>
              </w:rPr>
              <w:t>4</w:t>
            </w:r>
            <w:r>
              <w:rPr>
                <w:spacing w:val="-3"/>
                <w:sz w:val="28"/>
              </w:rPr>
              <w:t>本契約所生訴訟及管轄法院，依行政訴訟法及相關規定辦理規定。</w:t>
            </w:r>
          </w:p>
        </w:tc>
      </w:tr>
      <w:tr>
        <w:trPr>
          <w:trHeight w:val="1199" w:hRule="atLeast"/>
        </w:trPr>
        <w:tc>
          <w:tcPr>
            <w:tcW w:w="10267" w:type="dxa"/>
          </w:tcPr>
          <w:p>
            <w:pPr>
              <w:pStyle w:val="TableParagraph"/>
              <w:spacing w:line="452" w:lineRule="exact"/>
              <w:ind w:left="107"/>
              <w:rPr>
                <w:sz w:val="28"/>
              </w:rPr>
            </w:pPr>
            <w:r>
              <w:rPr>
                <w:rFonts w:ascii="Microsoft JhengHei" w:eastAsia="Microsoft JhengHei"/>
                <w:b/>
                <w:spacing w:val="9"/>
                <w:sz w:val="28"/>
              </w:rPr>
              <w:t>第二十八條  </w:t>
            </w:r>
            <w:r>
              <w:rPr>
                <w:spacing w:val="-1"/>
                <w:sz w:val="28"/>
              </w:rPr>
              <w:t>「長期照顧服務法」、「長期照顧特約管理辦法」、「長期照顧服務</w:t>
            </w:r>
          </w:p>
          <w:p>
            <w:pPr>
              <w:pStyle w:val="TableParagraph"/>
              <w:spacing w:line="347" w:lineRule="exact"/>
              <w:ind w:left="1730"/>
              <w:rPr>
                <w:sz w:val="28"/>
              </w:rPr>
            </w:pPr>
            <w:r>
              <w:rPr>
                <w:spacing w:val="-1"/>
                <w:sz w:val="28"/>
              </w:rPr>
              <w:t>申請及給付辦法」及「居家失能個案家庭醫師照護方案計畫書」為本</w:t>
            </w:r>
          </w:p>
          <w:p>
            <w:pPr>
              <w:pStyle w:val="TableParagraph"/>
              <w:spacing w:line="339" w:lineRule="exact" w:before="42"/>
              <w:ind w:left="1730"/>
              <w:rPr>
                <w:sz w:val="28"/>
              </w:rPr>
            </w:pPr>
            <w:r>
              <w:rPr>
                <w:spacing w:val="-4"/>
                <w:sz w:val="28"/>
              </w:rPr>
              <w:t>契約之附件。</w:t>
            </w:r>
          </w:p>
        </w:tc>
      </w:tr>
      <w:tr>
        <w:trPr>
          <w:trHeight w:val="491" w:hRule="atLeast"/>
        </w:trPr>
        <w:tc>
          <w:tcPr>
            <w:tcW w:w="10267" w:type="dxa"/>
          </w:tcPr>
          <w:p>
            <w:pPr>
              <w:pStyle w:val="TableParagraph"/>
              <w:tabs>
                <w:tab w:pos="1790" w:val="left" w:leader="none"/>
              </w:tabs>
              <w:spacing w:line="464" w:lineRule="exact"/>
              <w:ind w:left="107"/>
              <w:rPr>
                <w:sz w:val="28"/>
              </w:rPr>
            </w:pPr>
            <w:r>
              <w:rPr>
                <w:rFonts w:ascii="Microsoft JhengHei" w:eastAsia="Microsoft JhengHei"/>
                <w:b/>
                <w:sz w:val="28"/>
              </w:rPr>
              <w:t>第二十九</w:t>
            </w:r>
            <w:r>
              <w:rPr>
                <w:rFonts w:ascii="Microsoft JhengHei" w:eastAsia="Microsoft JhengHei"/>
                <w:b/>
                <w:spacing w:val="-10"/>
                <w:sz w:val="28"/>
              </w:rPr>
              <w:t>條</w:t>
            </w:r>
            <w:r>
              <w:rPr>
                <w:rFonts w:ascii="Microsoft JhengHei" w:eastAsia="Microsoft JhengHei"/>
                <w:b/>
                <w:sz w:val="28"/>
              </w:rPr>
              <w:tab/>
            </w:r>
            <w:r>
              <w:rPr>
                <w:spacing w:val="-2"/>
                <w:sz w:val="28"/>
              </w:rPr>
              <w:t>本契約未載明之事項，依行政程序法等相關法律規定</w:t>
            </w:r>
            <w:r>
              <w:rPr>
                <w:spacing w:val="-10"/>
                <w:sz w:val="28"/>
              </w:rPr>
              <w:t>。</w:t>
            </w:r>
          </w:p>
        </w:tc>
      </w:tr>
      <w:tr>
        <w:trPr>
          <w:trHeight w:val="7339" w:hRule="atLeast"/>
        </w:trPr>
        <w:tc>
          <w:tcPr>
            <w:tcW w:w="10267" w:type="dxa"/>
          </w:tcPr>
          <w:p>
            <w:pPr>
              <w:pStyle w:val="TableParagraph"/>
              <w:spacing w:before="221"/>
              <w:ind w:left="107"/>
              <w:rPr>
                <w:sz w:val="28"/>
              </w:rPr>
            </w:pPr>
            <w:r>
              <w:rPr>
                <w:spacing w:val="-4"/>
                <w:sz w:val="28"/>
              </w:rPr>
              <w:t>立契約書人：</w:t>
            </w:r>
          </w:p>
          <w:p>
            <w:pPr>
              <w:pStyle w:val="TableParagraph"/>
              <w:spacing w:line="268" w:lineRule="auto" w:before="40"/>
              <w:ind w:left="227" w:right="7365"/>
              <w:rPr>
                <w:sz w:val="28"/>
              </w:rPr>
            </w:pPr>
            <w:r>
              <w:rPr>
                <w:spacing w:val="-2"/>
                <w:sz w:val="28"/>
              </w:rPr>
              <w:t>甲方：花蓮縣政府</w:t>
            </w:r>
            <w:r>
              <w:rPr>
                <w:spacing w:val="80"/>
                <w:sz w:val="28"/>
              </w:rPr>
              <w:t> </w:t>
            </w:r>
            <w:r>
              <w:rPr>
                <w:spacing w:val="-5"/>
                <w:sz w:val="28"/>
              </w:rPr>
              <w:t>代表人：縣長 徐榛蔚</w:t>
            </w:r>
          </w:p>
          <w:p>
            <w:pPr>
              <w:pStyle w:val="TableParagraph"/>
              <w:spacing w:line="266" w:lineRule="auto"/>
              <w:ind w:left="227" w:right="6104"/>
              <w:rPr>
                <w:sz w:val="28"/>
              </w:rPr>
            </w:pPr>
            <w:r>
              <w:rPr>
                <w:spacing w:val="-2"/>
                <w:sz w:val="28"/>
              </w:rPr>
              <w:t>地址：花蓮縣花蓮市府前路17</w:t>
            </w:r>
            <w:r>
              <w:rPr>
                <w:spacing w:val="-2"/>
                <w:sz w:val="28"/>
              </w:rPr>
              <w:t>號</w:t>
            </w:r>
            <w:r>
              <w:rPr>
                <w:spacing w:val="-4"/>
                <w:sz w:val="28"/>
              </w:rPr>
              <w:t>聯絡人：</w:t>
            </w:r>
          </w:p>
          <w:p>
            <w:pPr>
              <w:pStyle w:val="TableParagraph"/>
              <w:spacing w:before="1"/>
              <w:ind w:left="227"/>
              <w:rPr>
                <w:sz w:val="28"/>
              </w:rPr>
            </w:pPr>
            <w:r>
              <w:rPr>
                <w:spacing w:val="-4"/>
                <w:sz w:val="28"/>
              </w:rPr>
              <w:t>電話：</w:t>
            </w:r>
          </w:p>
          <w:p>
            <w:pPr>
              <w:pStyle w:val="TableParagraph"/>
              <w:ind w:left="0"/>
              <w:rPr>
                <w:rFonts w:ascii="Times New Roman"/>
                <w:sz w:val="28"/>
              </w:rPr>
            </w:pPr>
          </w:p>
          <w:p>
            <w:pPr>
              <w:pStyle w:val="TableParagraph"/>
              <w:ind w:left="0"/>
              <w:rPr>
                <w:rFonts w:ascii="Times New Roman"/>
                <w:sz w:val="28"/>
              </w:rPr>
            </w:pPr>
          </w:p>
          <w:p>
            <w:pPr>
              <w:pStyle w:val="TableParagraph"/>
              <w:spacing w:before="235"/>
              <w:ind w:left="0"/>
              <w:rPr>
                <w:rFonts w:ascii="Times New Roman"/>
                <w:sz w:val="28"/>
              </w:rPr>
            </w:pPr>
          </w:p>
          <w:p>
            <w:pPr>
              <w:pStyle w:val="TableParagraph"/>
              <w:spacing w:line="268" w:lineRule="auto"/>
              <w:ind w:left="227" w:right="8905"/>
              <w:rPr>
                <w:sz w:val="28"/>
              </w:rPr>
            </w:pPr>
            <w:r>
              <w:rPr>
                <w:spacing w:val="-4"/>
                <w:sz w:val="28"/>
              </w:rPr>
              <w:t>乙方：</w:t>
            </w:r>
            <w:r>
              <w:rPr>
                <w:spacing w:val="-4"/>
                <w:sz w:val="28"/>
              </w:rPr>
              <w:t> 代表人：地址： 聯絡人：電話：</w:t>
            </w:r>
          </w:p>
          <w:p>
            <w:pPr>
              <w:pStyle w:val="TableParagraph"/>
              <w:ind w:left="0"/>
              <w:rPr>
                <w:rFonts w:ascii="Times New Roman"/>
                <w:sz w:val="28"/>
              </w:rPr>
            </w:pPr>
          </w:p>
          <w:p>
            <w:pPr>
              <w:pStyle w:val="TableParagraph"/>
              <w:ind w:left="0"/>
              <w:rPr>
                <w:rFonts w:ascii="Times New Roman"/>
                <w:sz w:val="28"/>
              </w:rPr>
            </w:pPr>
          </w:p>
          <w:p>
            <w:pPr>
              <w:pStyle w:val="TableParagraph"/>
              <w:spacing w:before="225"/>
              <w:ind w:left="0"/>
              <w:rPr>
                <w:rFonts w:ascii="Times New Roman"/>
                <w:sz w:val="28"/>
              </w:rPr>
            </w:pPr>
          </w:p>
          <w:p>
            <w:pPr>
              <w:pStyle w:val="TableParagraph"/>
              <w:tabs>
                <w:tab w:pos="2949" w:val="left" w:leader="none"/>
                <w:tab w:pos="4351" w:val="left" w:leader="none"/>
                <w:tab w:pos="5750" w:val="left" w:leader="none"/>
              </w:tabs>
              <w:spacing w:line="339" w:lineRule="exact"/>
              <w:ind w:left="9"/>
              <w:jc w:val="center"/>
              <w:rPr>
                <w:sz w:val="28"/>
              </w:rPr>
            </w:pPr>
            <w:r>
              <w:rPr>
                <w:sz w:val="28"/>
              </w:rPr>
              <w:t>中</w:t>
            </w:r>
            <w:r>
              <w:rPr>
                <w:spacing w:val="68"/>
                <w:w w:val="150"/>
                <w:sz w:val="28"/>
              </w:rPr>
              <w:t> </w:t>
            </w:r>
            <w:r>
              <w:rPr>
                <w:sz w:val="28"/>
              </w:rPr>
              <w:t>華</w:t>
            </w:r>
            <w:r>
              <w:rPr>
                <w:spacing w:val="71"/>
                <w:w w:val="150"/>
                <w:sz w:val="28"/>
              </w:rPr>
              <w:t> </w:t>
            </w:r>
            <w:r>
              <w:rPr>
                <w:sz w:val="28"/>
              </w:rPr>
              <w:t>民</w:t>
            </w:r>
            <w:r>
              <w:rPr>
                <w:spacing w:val="68"/>
                <w:w w:val="150"/>
                <w:sz w:val="28"/>
              </w:rPr>
              <w:t> </w:t>
            </w:r>
            <w:r>
              <w:rPr>
                <w:spacing w:val="-12"/>
                <w:sz w:val="28"/>
              </w:rPr>
              <w:t>國</w:t>
            </w:r>
            <w:r>
              <w:rPr>
                <w:sz w:val="28"/>
              </w:rPr>
              <w:tab/>
            </w:r>
            <w:r>
              <w:rPr>
                <w:spacing w:val="-10"/>
                <w:sz w:val="28"/>
              </w:rPr>
              <w:t>年</w:t>
            </w:r>
            <w:r>
              <w:rPr>
                <w:sz w:val="28"/>
              </w:rPr>
              <w:tab/>
            </w:r>
            <w:r>
              <w:rPr>
                <w:spacing w:val="-10"/>
                <w:sz w:val="28"/>
              </w:rPr>
              <w:t>月</w:t>
            </w:r>
            <w:r>
              <w:rPr>
                <w:sz w:val="28"/>
              </w:rPr>
              <w:tab/>
            </w:r>
            <w:r>
              <w:rPr>
                <w:spacing w:val="-10"/>
                <w:sz w:val="28"/>
              </w:rPr>
              <w:t>日</w:t>
            </w:r>
          </w:p>
        </w:tc>
      </w:tr>
    </w:tbl>
    <w:p>
      <w:pPr>
        <w:rPr>
          <w:sz w:val="2"/>
          <w:szCs w:val="2"/>
        </w:rPr>
      </w:pPr>
      <w:r>
        <w:rPr>
          <w:sz w:val="2"/>
          <w:szCs w:val="2"/>
        </w:rPr>
        <mc:AlternateContent>
          <mc:Choice Requires="wps">
            <w:drawing>
              <wp:anchor distT="0" distB="0" distL="0" distR="0" allowOverlap="1" layoutInCell="1" locked="0" behindDoc="1" simplePos="0" relativeHeight="487173120">
                <wp:simplePos x="0" y="0"/>
                <wp:positionH relativeFrom="page">
                  <wp:posOffset>5426709</wp:posOffset>
                </wp:positionH>
                <wp:positionV relativeFrom="page">
                  <wp:posOffset>8634729</wp:posOffset>
                </wp:positionV>
                <wp:extent cx="2125345" cy="2054225"/>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2125345" cy="2054225"/>
                          <a:chExt cx="2125345" cy="2054225"/>
                        </a:xfrm>
                      </wpg:grpSpPr>
                      <wps:wsp>
                        <wps:cNvPr id="56" name="Graphic 56"/>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57" name="Textbox 57"/>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18</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6143360" id="docshapegroup55" coordorigin="8546,13598" coordsize="3347,3235">
                <v:shape style="position:absolute;left:8546;top:13598;width:3347;height:3235" id="docshape56" coordorigin="8546,13598" coordsize="3347,3235" path="m11893,13598l8546,16833,11893,16833,11893,13598xe" filled="true" fillcolor="#d2eaf0" stroked="false">
                  <v:path arrowok="t"/>
                  <v:fill type="solid"/>
                </v:shape>
                <v:shape style="position:absolute;left:8546;top:13598;width:3347;height:3235" type="#_x0000_t202" id="docshape57"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18</w:t>
                        </w:r>
                      </w:p>
                    </w:txbxContent>
                  </v:textbox>
                  <w10:wrap type="none"/>
                </v:shape>
                <w10:wrap type="none"/>
              </v:group>
            </w:pict>
          </mc:Fallback>
        </mc:AlternateContent>
      </w:r>
    </w:p>
    <w:p>
      <w:pPr>
        <w:spacing w:after="0"/>
        <w:rPr>
          <w:sz w:val="2"/>
          <w:szCs w:val="2"/>
        </w:rPr>
        <w:sectPr>
          <w:type w:val="continuous"/>
          <w:pgSz w:w="11910" w:h="16840"/>
          <w:pgMar w:header="882" w:footer="0" w:top="1120" w:bottom="0" w:left="708" w:right="0"/>
        </w:sectPr>
      </w:pPr>
    </w:p>
    <w:p>
      <w:pPr>
        <w:pStyle w:val="BodyText"/>
        <w:spacing w:before="4"/>
        <w:rPr>
          <w:rFonts w:ascii="Times New Roman"/>
          <w:sz w:val="17"/>
        </w:rPr>
      </w:pPr>
      <w:r>
        <w:rPr>
          <w:rFonts w:ascii="Times New Roman"/>
          <w:sz w:val="17"/>
        </w:rPr>
        <mc:AlternateContent>
          <mc:Choice Requires="wps">
            <w:drawing>
              <wp:anchor distT="0" distB="0" distL="0" distR="0" allowOverlap="1" layoutInCell="1" locked="0" behindDoc="0" simplePos="0" relativeHeight="15738368">
                <wp:simplePos x="0" y="0"/>
                <wp:positionH relativeFrom="page">
                  <wp:posOffset>5426709</wp:posOffset>
                </wp:positionH>
                <wp:positionV relativeFrom="page">
                  <wp:posOffset>8634729</wp:posOffset>
                </wp:positionV>
                <wp:extent cx="2125345" cy="2054225"/>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2125345" cy="2054225"/>
                          <a:chExt cx="2125345" cy="2054225"/>
                        </a:xfrm>
                      </wpg:grpSpPr>
                      <wps:wsp>
                        <wps:cNvPr id="59" name="Graphic 59"/>
                        <wps:cNvSpPr/>
                        <wps:spPr>
                          <a:xfrm>
                            <a:off x="0" y="0"/>
                            <a:ext cx="2125345" cy="2054225"/>
                          </a:xfrm>
                          <a:custGeom>
                            <a:avLst/>
                            <a:gdLst/>
                            <a:ahLst/>
                            <a:cxnLst/>
                            <a:rect l="l" t="t" r="r" b="b"/>
                            <a:pathLst>
                              <a:path w="2125345" h="2054225">
                                <a:moveTo>
                                  <a:pt x="2125344" y="0"/>
                                </a:moveTo>
                                <a:lnTo>
                                  <a:pt x="0" y="2054224"/>
                                </a:lnTo>
                                <a:lnTo>
                                  <a:pt x="2125344" y="2054224"/>
                                </a:lnTo>
                                <a:lnTo>
                                  <a:pt x="2125344" y="0"/>
                                </a:lnTo>
                                <a:close/>
                              </a:path>
                            </a:pathLst>
                          </a:custGeom>
                          <a:solidFill>
                            <a:srgbClr val="D2EAF0"/>
                          </a:solidFill>
                        </wps:spPr>
                        <wps:bodyPr wrap="square" lIns="0" tIns="0" rIns="0" bIns="0" rtlCol="0">
                          <a:prstTxWarp prst="textNoShape">
                            <a:avLst/>
                          </a:prstTxWarp>
                          <a:noAutofit/>
                        </wps:bodyPr>
                      </wps:wsp>
                      <wps:wsp>
                        <wps:cNvPr id="60" name="Textbox 60"/>
                        <wps:cNvSpPr txBox="1"/>
                        <wps:spPr>
                          <a:xfrm>
                            <a:off x="0" y="0"/>
                            <a:ext cx="2125345" cy="2054225"/>
                          </a:xfrm>
                          <a:prstGeom prst="rect">
                            <a:avLst/>
                          </a:prstGeom>
                        </wps:spPr>
                        <wps:txbx>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19</w:t>
                              </w:r>
                            </w:p>
                          </w:txbxContent>
                        </wps:txbx>
                        <wps:bodyPr wrap="square" lIns="0" tIns="0" rIns="0" bIns="0" rtlCol="0">
                          <a:noAutofit/>
                        </wps:bodyPr>
                      </wps:wsp>
                    </wpg:wgp>
                  </a:graphicData>
                </a:graphic>
              </wp:anchor>
            </w:drawing>
          </mc:Choice>
          <mc:Fallback>
            <w:pict>
              <v:group style="position:absolute;margin-left:427.299988pt;margin-top:679.899963pt;width:167.35pt;height:161.75pt;mso-position-horizontal-relative:page;mso-position-vertical-relative:page;z-index:15738368" id="docshapegroup58" coordorigin="8546,13598" coordsize="3347,3235">
                <v:shape style="position:absolute;left:8546;top:13598;width:3347;height:3235" id="docshape59" coordorigin="8546,13598" coordsize="3347,3235" path="m11893,13598l8546,16833,11893,16833,11893,13598xe" filled="true" fillcolor="#d2eaf0" stroked="false">
                  <v:path arrowok="t"/>
                  <v:fill type="solid"/>
                </v:shape>
                <v:shape style="position:absolute;left:8546;top:13598;width:3347;height:3235" type="#_x0000_t202" id="docshape60" filled="false" stroked="false">
                  <v:textbox inset="0,0,0,0">
                    <w:txbxContent>
                      <w:p>
                        <w:pPr>
                          <w:spacing w:line="240" w:lineRule="auto" w:before="793"/>
                          <w:rPr>
                            <w:rFonts w:ascii="Times New Roman"/>
                            <w:sz w:val="72"/>
                          </w:rPr>
                        </w:pPr>
                      </w:p>
                      <w:p>
                        <w:pPr>
                          <w:spacing w:before="0"/>
                          <w:ind w:left="2073" w:right="0" w:firstLine="0"/>
                          <w:jc w:val="left"/>
                          <w:rPr>
                            <w:rFonts w:ascii="Calibri Light"/>
                            <w:sz w:val="72"/>
                          </w:rPr>
                        </w:pPr>
                        <w:r>
                          <w:rPr>
                            <w:rFonts w:ascii="Calibri Light"/>
                            <w:spacing w:val="-5"/>
                            <w:sz w:val="72"/>
                          </w:rPr>
                          <w:t>19</w:t>
                        </w:r>
                      </w:p>
                    </w:txbxContent>
                  </v:textbox>
                  <w10:wrap type="none"/>
                </v:shape>
                <w10:wrap type="none"/>
              </v:group>
            </w:pict>
          </mc:Fallback>
        </mc:AlternateContent>
      </w:r>
    </w:p>
    <w:sectPr>
      <w:pgSz w:w="11910" w:h="16840"/>
      <w:pgMar w:header="882" w:footer="0" w:top="1120" w:bottom="0" w:left="708"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Calibri Light">
    <w:altName w:val="Calibri Light"/>
    <w:charset w:val="1"/>
    <w:family w:val="roman"/>
    <w:pitch w:val="variable"/>
  </w:font>
  <w:font w:name="SimSun">
    <w:altName w:val="SimSun"/>
    <w:charset w:val="1"/>
    <w:family w:val="roman"/>
    <w:pitch w:val="variable"/>
  </w:font>
  <w:font w:name="Microsoft JhengHei">
    <w:altName w:val="Microsoft JhengHei"/>
    <w:charset w:val="1"/>
    <w:family w:val="swiss"/>
    <w:pitch w:val="variable"/>
  </w:font>
  <w:font w:name="Georgia">
    <w:altName w:val="Georgia"/>
    <w:charset w:val="1"/>
    <w:family w:val="roman"/>
    <w:pitch w:val="variable"/>
  </w:font>
  <w:font w:name="PMingLiU-ExtB">
    <w:altName w:val="PMingLiU-ExtB"/>
    <w:charset w:val="1"/>
    <w:family w:val="roman"/>
    <w:pitch w:val="variable"/>
  </w:font>
  <w:font w:name="Wingdings">
    <w:altName w:val="Wingdings"/>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163904">
              <wp:simplePos x="0" y="0"/>
              <wp:positionH relativeFrom="page">
                <wp:posOffset>5628513</wp:posOffset>
              </wp:positionH>
              <wp:positionV relativeFrom="page">
                <wp:posOffset>547423</wp:posOffset>
              </wp:positionV>
              <wp:extent cx="1043940" cy="1587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43940" cy="158750"/>
                      </a:xfrm>
                      <a:prstGeom prst="rect">
                        <a:avLst/>
                      </a:prstGeom>
                    </wps:spPr>
                    <wps:txbx>
                      <w:txbxContent>
                        <w:p>
                          <w:pPr>
                            <w:pStyle w:val="BodyText"/>
                            <w:spacing w:line="249" w:lineRule="exact"/>
                            <w:ind w:left="20"/>
                            <w:rPr>
                              <w:rFonts w:ascii="PMingLiU-ExtB" w:eastAsia="PMingLiU-ExtB"/>
                            </w:rPr>
                          </w:pPr>
                          <w:r>
                            <w:rPr>
                              <w:spacing w:val="-2"/>
                            </w:rPr>
                            <w:t>113</w:t>
                          </w:r>
                          <w:r>
                            <w:rPr>
                              <w:rFonts w:ascii="PMingLiU-ExtB" w:eastAsia="PMingLiU-ExtB"/>
                              <w:spacing w:val="-2"/>
                            </w:rPr>
                            <w:t>年</w:t>
                          </w:r>
                          <w:r>
                            <w:rPr>
                              <w:spacing w:val="-2"/>
                            </w:rPr>
                            <w:t>4</w:t>
                          </w:r>
                          <w:r>
                            <w:rPr>
                              <w:rFonts w:ascii="PMingLiU-ExtB" w:eastAsia="PMingLiU-ExtB"/>
                              <w:spacing w:val="-2"/>
                            </w:rPr>
                            <w:t>月</w:t>
                          </w:r>
                          <w:r>
                            <w:rPr>
                              <w:spacing w:val="-2"/>
                            </w:rPr>
                            <w:t>17</w:t>
                          </w:r>
                          <w:r>
                            <w:rPr>
                              <w:rFonts w:ascii="PMingLiU-ExtB" w:eastAsia="PMingLiU-ExtB"/>
                              <w:spacing w:val="-5"/>
                            </w:rPr>
                            <w:t>日修正</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43.190002pt;margin-top:43.104202pt;width:82.2pt;height:12.5pt;mso-position-horizontal-relative:page;mso-position-vertical-relative:page;z-index:-16152576" type="#_x0000_t202" id="docshape1" filled="false" stroked="false">
              <v:textbox inset="0,0,0,0">
                <w:txbxContent>
                  <w:p>
                    <w:pPr>
                      <w:pStyle w:val="BodyText"/>
                      <w:spacing w:line="249" w:lineRule="exact"/>
                      <w:ind w:left="20"/>
                      <w:rPr>
                        <w:rFonts w:ascii="PMingLiU-ExtB" w:eastAsia="PMingLiU-ExtB"/>
                      </w:rPr>
                    </w:pPr>
                    <w:r>
                      <w:rPr>
                        <w:spacing w:val="-2"/>
                      </w:rPr>
                      <w:t>113</w:t>
                    </w:r>
                    <w:r>
                      <w:rPr>
                        <w:rFonts w:ascii="PMingLiU-ExtB" w:eastAsia="PMingLiU-ExtB"/>
                        <w:spacing w:val="-2"/>
                      </w:rPr>
                      <w:t>年</w:t>
                    </w:r>
                    <w:r>
                      <w:rPr>
                        <w:spacing w:val="-2"/>
                      </w:rPr>
                      <w:t>4</w:t>
                    </w:r>
                    <w:r>
                      <w:rPr>
                        <w:rFonts w:ascii="PMingLiU-ExtB" w:eastAsia="PMingLiU-ExtB"/>
                        <w:spacing w:val="-2"/>
                      </w:rPr>
                      <w:t>月</w:t>
                    </w:r>
                    <w:r>
                      <w:rPr>
                        <w:spacing w:val="-2"/>
                      </w:rPr>
                      <w:t>17</w:t>
                    </w:r>
                    <w:r>
                      <w:rPr>
                        <w:rFonts w:ascii="PMingLiU-ExtB" w:eastAsia="PMingLiU-ExtB"/>
                        <w:spacing w:val="-5"/>
                      </w:rPr>
                      <w:t>日修正</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24">
    <w:multiLevelType w:val="hybridMultilevel"/>
    <w:lvl w:ilvl="0">
      <w:start w:val="5"/>
      <w:numFmt w:val="chineseCountingThousand"/>
      <w:lvlText w:val="%1、"/>
      <w:lvlJc w:val="left"/>
      <w:pPr>
        <w:ind w:left="1185"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087" w:hanging="567"/>
      </w:pPr>
      <w:rPr>
        <w:rFonts w:hint="default"/>
        <w:lang w:val="en-US" w:eastAsia="zh-TW" w:bidi="ar-SA"/>
      </w:rPr>
    </w:lvl>
    <w:lvl w:ilvl="2">
      <w:start w:val="0"/>
      <w:numFmt w:val="bullet"/>
      <w:lvlText w:val="•"/>
      <w:lvlJc w:val="left"/>
      <w:pPr>
        <w:ind w:left="2995" w:hanging="567"/>
      </w:pPr>
      <w:rPr>
        <w:rFonts w:hint="default"/>
        <w:lang w:val="en-US" w:eastAsia="zh-TW" w:bidi="ar-SA"/>
      </w:rPr>
    </w:lvl>
    <w:lvl w:ilvl="3">
      <w:start w:val="0"/>
      <w:numFmt w:val="bullet"/>
      <w:lvlText w:val="•"/>
      <w:lvlJc w:val="left"/>
      <w:pPr>
        <w:ind w:left="3903" w:hanging="567"/>
      </w:pPr>
      <w:rPr>
        <w:rFonts w:hint="default"/>
        <w:lang w:val="en-US" w:eastAsia="zh-TW" w:bidi="ar-SA"/>
      </w:rPr>
    </w:lvl>
    <w:lvl w:ilvl="4">
      <w:start w:val="0"/>
      <w:numFmt w:val="bullet"/>
      <w:lvlText w:val="•"/>
      <w:lvlJc w:val="left"/>
      <w:pPr>
        <w:ind w:left="4810" w:hanging="567"/>
      </w:pPr>
      <w:rPr>
        <w:rFonts w:hint="default"/>
        <w:lang w:val="en-US" w:eastAsia="zh-TW" w:bidi="ar-SA"/>
      </w:rPr>
    </w:lvl>
    <w:lvl w:ilvl="5">
      <w:start w:val="0"/>
      <w:numFmt w:val="bullet"/>
      <w:lvlText w:val="•"/>
      <w:lvlJc w:val="left"/>
      <w:pPr>
        <w:ind w:left="5718" w:hanging="567"/>
      </w:pPr>
      <w:rPr>
        <w:rFonts w:hint="default"/>
        <w:lang w:val="en-US" w:eastAsia="zh-TW" w:bidi="ar-SA"/>
      </w:rPr>
    </w:lvl>
    <w:lvl w:ilvl="6">
      <w:start w:val="0"/>
      <w:numFmt w:val="bullet"/>
      <w:lvlText w:val="•"/>
      <w:lvlJc w:val="left"/>
      <w:pPr>
        <w:ind w:left="6626" w:hanging="567"/>
      </w:pPr>
      <w:rPr>
        <w:rFonts w:hint="default"/>
        <w:lang w:val="en-US" w:eastAsia="zh-TW" w:bidi="ar-SA"/>
      </w:rPr>
    </w:lvl>
    <w:lvl w:ilvl="7">
      <w:start w:val="0"/>
      <w:numFmt w:val="bullet"/>
      <w:lvlText w:val="•"/>
      <w:lvlJc w:val="left"/>
      <w:pPr>
        <w:ind w:left="7533" w:hanging="567"/>
      </w:pPr>
      <w:rPr>
        <w:rFonts w:hint="default"/>
        <w:lang w:val="en-US" w:eastAsia="zh-TW" w:bidi="ar-SA"/>
      </w:rPr>
    </w:lvl>
    <w:lvl w:ilvl="8">
      <w:start w:val="0"/>
      <w:numFmt w:val="bullet"/>
      <w:lvlText w:val="•"/>
      <w:lvlJc w:val="left"/>
      <w:pPr>
        <w:ind w:left="8441" w:hanging="567"/>
      </w:pPr>
      <w:rPr>
        <w:rFonts w:hint="default"/>
        <w:lang w:val="en-US" w:eastAsia="zh-TW" w:bidi="ar-SA"/>
      </w:rPr>
    </w:lvl>
  </w:abstractNum>
  <w:abstractNum w:abstractNumId="23">
    <w:multiLevelType w:val="hybridMultilevel"/>
    <w:lvl w:ilvl="0">
      <w:start w:val="1"/>
      <w:numFmt w:val="chineseCountingThousand"/>
      <w:lvlText w:val="%1、"/>
      <w:lvlJc w:val="left"/>
      <w:pPr>
        <w:ind w:left="1185"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087" w:hanging="567"/>
      </w:pPr>
      <w:rPr>
        <w:rFonts w:hint="default"/>
        <w:lang w:val="en-US" w:eastAsia="zh-TW" w:bidi="ar-SA"/>
      </w:rPr>
    </w:lvl>
    <w:lvl w:ilvl="2">
      <w:start w:val="0"/>
      <w:numFmt w:val="bullet"/>
      <w:lvlText w:val="•"/>
      <w:lvlJc w:val="left"/>
      <w:pPr>
        <w:ind w:left="2995" w:hanging="567"/>
      </w:pPr>
      <w:rPr>
        <w:rFonts w:hint="default"/>
        <w:lang w:val="en-US" w:eastAsia="zh-TW" w:bidi="ar-SA"/>
      </w:rPr>
    </w:lvl>
    <w:lvl w:ilvl="3">
      <w:start w:val="0"/>
      <w:numFmt w:val="bullet"/>
      <w:lvlText w:val="•"/>
      <w:lvlJc w:val="left"/>
      <w:pPr>
        <w:ind w:left="3903" w:hanging="567"/>
      </w:pPr>
      <w:rPr>
        <w:rFonts w:hint="default"/>
        <w:lang w:val="en-US" w:eastAsia="zh-TW" w:bidi="ar-SA"/>
      </w:rPr>
    </w:lvl>
    <w:lvl w:ilvl="4">
      <w:start w:val="0"/>
      <w:numFmt w:val="bullet"/>
      <w:lvlText w:val="•"/>
      <w:lvlJc w:val="left"/>
      <w:pPr>
        <w:ind w:left="4810" w:hanging="567"/>
      </w:pPr>
      <w:rPr>
        <w:rFonts w:hint="default"/>
        <w:lang w:val="en-US" w:eastAsia="zh-TW" w:bidi="ar-SA"/>
      </w:rPr>
    </w:lvl>
    <w:lvl w:ilvl="5">
      <w:start w:val="0"/>
      <w:numFmt w:val="bullet"/>
      <w:lvlText w:val="•"/>
      <w:lvlJc w:val="left"/>
      <w:pPr>
        <w:ind w:left="5718" w:hanging="567"/>
      </w:pPr>
      <w:rPr>
        <w:rFonts w:hint="default"/>
        <w:lang w:val="en-US" w:eastAsia="zh-TW" w:bidi="ar-SA"/>
      </w:rPr>
    </w:lvl>
    <w:lvl w:ilvl="6">
      <w:start w:val="0"/>
      <w:numFmt w:val="bullet"/>
      <w:lvlText w:val="•"/>
      <w:lvlJc w:val="left"/>
      <w:pPr>
        <w:ind w:left="6626" w:hanging="567"/>
      </w:pPr>
      <w:rPr>
        <w:rFonts w:hint="default"/>
        <w:lang w:val="en-US" w:eastAsia="zh-TW" w:bidi="ar-SA"/>
      </w:rPr>
    </w:lvl>
    <w:lvl w:ilvl="7">
      <w:start w:val="0"/>
      <w:numFmt w:val="bullet"/>
      <w:lvlText w:val="•"/>
      <w:lvlJc w:val="left"/>
      <w:pPr>
        <w:ind w:left="7533" w:hanging="567"/>
      </w:pPr>
      <w:rPr>
        <w:rFonts w:hint="default"/>
        <w:lang w:val="en-US" w:eastAsia="zh-TW" w:bidi="ar-SA"/>
      </w:rPr>
    </w:lvl>
    <w:lvl w:ilvl="8">
      <w:start w:val="0"/>
      <w:numFmt w:val="bullet"/>
      <w:lvlText w:val="•"/>
      <w:lvlJc w:val="left"/>
      <w:pPr>
        <w:ind w:left="8441" w:hanging="567"/>
      </w:pPr>
      <w:rPr>
        <w:rFonts w:hint="default"/>
        <w:lang w:val="en-US" w:eastAsia="zh-TW" w:bidi="ar-SA"/>
      </w:rPr>
    </w:lvl>
  </w:abstractNum>
  <w:abstractNum w:abstractNumId="22">
    <w:multiLevelType w:val="hybridMultilevel"/>
    <w:lvl w:ilvl="0">
      <w:start w:val="1"/>
      <w:numFmt w:val="chineseCountingThousand"/>
      <w:lvlText w:val="%1、"/>
      <w:lvlJc w:val="left"/>
      <w:pPr>
        <w:ind w:left="1185"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087" w:hanging="567"/>
      </w:pPr>
      <w:rPr>
        <w:rFonts w:hint="default"/>
        <w:lang w:val="en-US" w:eastAsia="zh-TW" w:bidi="ar-SA"/>
      </w:rPr>
    </w:lvl>
    <w:lvl w:ilvl="2">
      <w:start w:val="0"/>
      <w:numFmt w:val="bullet"/>
      <w:lvlText w:val="•"/>
      <w:lvlJc w:val="left"/>
      <w:pPr>
        <w:ind w:left="2995" w:hanging="567"/>
      </w:pPr>
      <w:rPr>
        <w:rFonts w:hint="default"/>
        <w:lang w:val="en-US" w:eastAsia="zh-TW" w:bidi="ar-SA"/>
      </w:rPr>
    </w:lvl>
    <w:lvl w:ilvl="3">
      <w:start w:val="0"/>
      <w:numFmt w:val="bullet"/>
      <w:lvlText w:val="•"/>
      <w:lvlJc w:val="left"/>
      <w:pPr>
        <w:ind w:left="3903" w:hanging="567"/>
      </w:pPr>
      <w:rPr>
        <w:rFonts w:hint="default"/>
        <w:lang w:val="en-US" w:eastAsia="zh-TW" w:bidi="ar-SA"/>
      </w:rPr>
    </w:lvl>
    <w:lvl w:ilvl="4">
      <w:start w:val="0"/>
      <w:numFmt w:val="bullet"/>
      <w:lvlText w:val="•"/>
      <w:lvlJc w:val="left"/>
      <w:pPr>
        <w:ind w:left="4810" w:hanging="567"/>
      </w:pPr>
      <w:rPr>
        <w:rFonts w:hint="default"/>
        <w:lang w:val="en-US" w:eastAsia="zh-TW" w:bidi="ar-SA"/>
      </w:rPr>
    </w:lvl>
    <w:lvl w:ilvl="5">
      <w:start w:val="0"/>
      <w:numFmt w:val="bullet"/>
      <w:lvlText w:val="•"/>
      <w:lvlJc w:val="left"/>
      <w:pPr>
        <w:ind w:left="5718" w:hanging="567"/>
      </w:pPr>
      <w:rPr>
        <w:rFonts w:hint="default"/>
        <w:lang w:val="en-US" w:eastAsia="zh-TW" w:bidi="ar-SA"/>
      </w:rPr>
    </w:lvl>
    <w:lvl w:ilvl="6">
      <w:start w:val="0"/>
      <w:numFmt w:val="bullet"/>
      <w:lvlText w:val="•"/>
      <w:lvlJc w:val="left"/>
      <w:pPr>
        <w:ind w:left="6626" w:hanging="567"/>
      </w:pPr>
      <w:rPr>
        <w:rFonts w:hint="default"/>
        <w:lang w:val="en-US" w:eastAsia="zh-TW" w:bidi="ar-SA"/>
      </w:rPr>
    </w:lvl>
    <w:lvl w:ilvl="7">
      <w:start w:val="0"/>
      <w:numFmt w:val="bullet"/>
      <w:lvlText w:val="•"/>
      <w:lvlJc w:val="left"/>
      <w:pPr>
        <w:ind w:left="7533" w:hanging="567"/>
      </w:pPr>
      <w:rPr>
        <w:rFonts w:hint="default"/>
        <w:lang w:val="en-US" w:eastAsia="zh-TW" w:bidi="ar-SA"/>
      </w:rPr>
    </w:lvl>
    <w:lvl w:ilvl="8">
      <w:start w:val="0"/>
      <w:numFmt w:val="bullet"/>
      <w:lvlText w:val="•"/>
      <w:lvlJc w:val="left"/>
      <w:pPr>
        <w:ind w:left="8441" w:hanging="567"/>
      </w:pPr>
      <w:rPr>
        <w:rFonts w:hint="default"/>
        <w:lang w:val="en-US" w:eastAsia="zh-TW" w:bidi="ar-SA"/>
      </w:rPr>
    </w:lvl>
  </w:abstractNum>
  <w:abstractNum w:abstractNumId="21">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20">
    <w:multiLevelType w:val="hybridMultilevel"/>
    <w:lvl w:ilvl="0">
      <w:start w:val="1"/>
      <w:numFmt w:val="chineseCountingThousand"/>
      <w:lvlText w:val="%1、"/>
      <w:lvlJc w:val="left"/>
      <w:pPr>
        <w:ind w:left="1277" w:hanging="567"/>
        <w:jc w:val="left"/>
      </w:pPr>
      <w:rPr>
        <w:rFonts w:hint="default" w:ascii="Microsoft JhengHei" w:hAnsi="Microsoft JhengHei" w:eastAsia="Microsoft JhengHei" w:cs="Microsoft JhengHei"/>
        <w:b/>
        <w:bCs/>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19">
    <w:multiLevelType w:val="hybridMultilevel"/>
    <w:lvl w:ilvl="0">
      <w:start w:val="5"/>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18">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17">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16">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15">
    <w:multiLevelType w:val="hybridMultilevel"/>
    <w:lvl w:ilvl="0">
      <w:start w:val="2"/>
      <w:numFmt w:val="chineseCountingThousand"/>
      <w:lvlText w:val="(%1)"/>
      <w:lvlJc w:val="left"/>
      <w:pPr>
        <w:ind w:left="1730" w:hanging="708"/>
        <w:jc w:val="left"/>
      </w:pPr>
      <w:rPr>
        <w:rFonts w:hint="default" w:ascii="SimSun" w:hAnsi="SimSun" w:eastAsia="SimSun" w:cs="SimSun"/>
        <w:b w:val="0"/>
        <w:bCs w:val="0"/>
        <w:i w:val="0"/>
        <w:iCs w:val="0"/>
        <w:spacing w:val="-2"/>
        <w:w w:val="100"/>
        <w:sz w:val="28"/>
        <w:szCs w:val="28"/>
        <w:lang w:val="en-US" w:eastAsia="zh-TW" w:bidi="ar-SA"/>
      </w:rPr>
    </w:lvl>
    <w:lvl w:ilvl="1">
      <w:start w:val="0"/>
      <w:numFmt w:val="bullet"/>
      <w:lvlText w:val="•"/>
      <w:lvlJc w:val="left"/>
      <w:pPr>
        <w:ind w:left="2591" w:hanging="708"/>
      </w:pPr>
      <w:rPr>
        <w:rFonts w:hint="default"/>
        <w:lang w:val="en-US" w:eastAsia="zh-TW" w:bidi="ar-SA"/>
      </w:rPr>
    </w:lvl>
    <w:lvl w:ilvl="2">
      <w:start w:val="0"/>
      <w:numFmt w:val="bullet"/>
      <w:lvlText w:val="•"/>
      <w:lvlJc w:val="left"/>
      <w:pPr>
        <w:ind w:left="3443" w:hanging="708"/>
      </w:pPr>
      <w:rPr>
        <w:rFonts w:hint="default"/>
        <w:lang w:val="en-US" w:eastAsia="zh-TW" w:bidi="ar-SA"/>
      </w:rPr>
    </w:lvl>
    <w:lvl w:ilvl="3">
      <w:start w:val="0"/>
      <w:numFmt w:val="bullet"/>
      <w:lvlText w:val="•"/>
      <w:lvlJc w:val="left"/>
      <w:pPr>
        <w:ind w:left="4295" w:hanging="708"/>
      </w:pPr>
      <w:rPr>
        <w:rFonts w:hint="default"/>
        <w:lang w:val="en-US" w:eastAsia="zh-TW" w:bidi="ar-SA"/>
      </w:rPr>
    </w:lvl>
    <w:lvl w:ilvl="4">
      <w:start w:val="0"/>
      <w:numFmt w:val="bullet"/>
      <w:lvlText w:val="•"/>
      <w:lvlJc w:val="left"/>
      <w:pPr>
        <w:ind w:left="5146" w:hanging="708"/>
      </w:pPr>
      <w:rPr>
        <w:rFonts w:hint="default"/>
        <w:lang w:val="en-US" w:eastAsia="zh-TW" w:bidi="ar-SA"/>
      </w:rPr>
    </w:lvl>
    <w:lvl w:ilvl="5">
      <w:start w:val="0"/>
      <w:numFmt w:val="bullet"/>
      <w:lvlText w:val="•"/>
      <w:lvlJc w:val="left"/>
      <w:pPr>
        <w:ind w:left="5998" w:hanging="708"/>
      </w:pPr>
      <w:rPr>
        <w:rFonts w:hint="default"/>
        <w:lang w:val="en-US" w:eastAsia="zh-TW" w:bidi="ar-SA"/>
      </w:rPr>
    </w:lvl>
    <w:lvl w:ilvl="6">
      <w:start w:val="0"/>
      <w:numFmt w:val="bullet"/>
      <w:lvlText w:val="•"/>
      <w:lvlJc w:val="left"/>
      <w:pPr>
        <w:ind w:left="6850" w:hanging="708"/>
      </w:pPr>
      <w:rPr>
        <w:rFonts w:hint="default"/>
        <w:lang w:val="en-US" w:eastAsia="zh-TW" w:bidi="ar-SA"/>
      </w:rPr>
    </w:lvl>
    <w:lvl w:ilvl="7">
      <w:start w:val="0"/>
      <w:numFmt w:val="bullet"/>
      <w:lvlText w:val="•"/>
      <w:lvlJc w:val="left"/>
      <w:pPr>
        <w:ind w:left="7701" w:hanging="708"/>
      </w:pPr>
      <w:rPr>
        <w:rFonts w:hint="default"/>
        <w:lang w:val="en-US" w:eastAsia="zh-TW" w:bidi="ar-SA"/>
      </w:rPr>
    </w:lvl>
    <w:lvl w:ilvl="8">
      <w:start w:val="0"/>
      <w:numFmt w:val="bullet"/>
      <w:lvlText w:val="•"/>
      <w:lvlJc w:val="left"/>
      <w:pPr>
        <w:ind w:left="8553" w:hanging="708"/>
      </w:pPr>
      <w:rPr>
        <w:rFonts w:hint="default"/>
        <w:lang w:val="en-US" w:eastAsia="zh-TW" w:bidi="ar-SA"/>
      </w:rPr>
    </w:lvl>
  </w:abstractNum>
  <w:abstractNum w:abstractNumId="14">
    <w:multiLevelType w:val="hybridMultilevel"/>
    <w:lvl w:ilvl="0">
      <w:start w:val="9"/>
      <w:numFmt w:val="chineseCountingThousand"/>
      <w:lvlText w:val="(%1)"/>
      <w:lvlJc w:val="left"/>
      <w:pPr>
        <w:ind w:left="1488" w:hanging="636"/>
        <w:jc w:val="right"/>
      </w:pPr>
      <w:rPr>
        <w:rFonts w:hint="default" w:ascii="SimSun" w:hAnsi="SimSun" w:eastAsia="SimSun" w:cs="SimSun"/>
        <w:b w:val="0"/>
        <w:bCs w:val="0"/>
        <w:i w:val="0"/>
        <w:iCs w:val="0"/>
        <w:spacing w:val="-2"/>
        <w:w w:val="100"/>
        <w:sz w:val="28"/>
        <w:szCs w:val="28"/>
        <w:lang w:val="en-US" w:eastAsia="zh-TW" w:bidi="ar-SA"/>
      </w:rPr>
    </w:lvl>
    <w:lvl w:ilvl="1">
      <w:start w:val="0"/>
      <w:numFmt w:val="bullet"/>
      <w:lvlText w:val="•"/>
      <w:lvlJc w:val="left"/>
      <w:pPr>
        <w:ind w:left="2357" w:hanging="636"/>
      </w:pPr>
      <w:rPr>
        <w:rFonts w:hint="default"/>
        <w:lang w:val="en-US" w:eastAsia="zh-TW" w:bidi="ar-SA"/>
      </w:rPr>
    </w:lvl>
    <w:lvl w:ilvl="2">
      <w:start w:val="0"/>
      <w:numFmt w:val="bullet"/>
      <w:lvlText w:val="•"/>
      <w:lvlJc w:val="left"/>
      <w:pPr>
        <w:ind w:left="3235" w:hanging="636"/>
      </w:pPr>
      <w:rPr>
        <w:rFonts w:hint="default"/>
        <w:lang w:val="en-US" w:eastAsia="zh-TW" w:bidi="ar-SA"/>
      </w:rPr>
    </w:lvl>
    <w:lvl w:ilvl="3">
      <w:start w:val="0"/>
      <w:numFmt w:val="bullet"/>
      <w:lvlText w:val="•"/>
      <w:lvlJc w:val="left"/>
      <w:pPr>
        <w:ind w:left="4113" w:hanging="636"/>
      </w:pPr>
      <w:rPr>
        <w:rFonts w:hint="default"/>
        <w:lang w:val="en-US" w:eastAsia="zh-TW" w:bidi="ar-SA"/>
      </w:rPr>
    </w:lvl>
    <w:lvl w:ilvl="4">
      <w:start w:val="0"/>
      <w:numFmt w:val="bullet"/>
      <w:lvlText w:val="•"/>
      <w:lvlJc w:val="left"/>
      <w:pPr>
        <w:ind w:left="4990" w:hanging="636"/>
      </w:pPr>
      <w:rPr>
        <w:rFonts w:hint="default"/>
        <w:lang w:val="en-US" w:eastAsia="zh-TW" w:bidi="ar-SA"/>
      </w:rPr>
    </w:lvl>
    <w:lvl w:ilvl="5">
      <w:start w:val="0"/>
      <w:numFmt w:val="bullet"/>
      <w:lvlText w:val="•"/>
      <w:lvlJc w:val="left"/>
      <w:pPr>
        <w:ind w:left="5868" w:hanging="636"/>
      </w:pPr>
      <w:rPr>
        <w:rFonts w:hint="default"/>
        <w:lang w:val="en-US" w:eastAsia="zh-TW" w:bidi="ar-SA"/>
      </w:rPr>
    </w:lvl>
    <w:lvl w:ilvl="6">
      <w:start w:val="0"/>
      <w:numFmt w:val="bullet"/>
      <w:lvlText w:val="•"/>
      <w:lvlJc w:val="left"/>
      <w:pPr>
        <w:ind w:left="6746" w:hanging="636"/>
      </w:pPr>
      <w:rPr>
        <w:rFonts w:hint="default"/>
        <w:lang w:val="en-US" w:eastAsia="zh-TW" w:bidi="ar-SA"/>
      </w:rPr>
    </w:lvl>
    <w:lvl w:ilvl="7">
      <w:start w:val="0"/>
      <w:numFmt w:val="bullet"/>
      <w:lvlText w:val="•"/>
      <w:lvlJc w:val="left"/>
      <w:pPr>
        <w:ind w:left="7623" w:hanging="636"/>
      </w:pPr>
      <w:rPr>
        <w:rFonts w:hint="default"/>
        <w:lang w:val="en-US" w:eastAsia="zh-TW" w:bidi="ar-SA"/>
      </w:rPr>
    </w:lvl>
    <w:lvl w:ilvl="8">
      <w:start w:val="0"/>
      <w:numFmt w:val="bullet"/>
      <w:lvlText w:val="•"/>
      <w:lvlJc w:val="left"/>
      <w:pPr>
        <w:ind w:left="8501" w:hanging="636"/>
      </w:pPr>
      <w:rPr>
        <w:rFonts w:hint="default"/>
        <w:lang w:val="en-US" w:eastAsia="zh-TW" w:bidi="ar-SA"/>
      </w:rPr>
    </w:lvl>
  </w:abstractNum>
  <w:abstractNum w:abstractNumId="13">
    <w:multiLevelType w:val="hybridMultilevel"/>
    <w:lvl w:ilvl="0">
      <w:start w:val="4"/>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1"/>
      <w:numFmt w:val="chineseCountingThousand"/>
      <w:lvlText w:val="(%2)"/>
      <w:lvlJc w:val="left"/>
      <w:pPr>
        <w:ind w:left="1488" w:hanging="636"/>
        <w:jc w:val="left"/>
      </w:pPr>
      <w:rPr>
        <w:rFonts w:hint="default" w:ascii="SimSun" w:hAnsi="SimSun" w:eastAsia="SimSun" w:cs="SimSun"/>
        <w:b w:val="0"/>
        <w:bCs w:val="0"/>
        <w:i w:val="0"/>
        <w:iCs w:val="0"/>
        <w:spacing w:val="-2"/>
        <w:w w:val="100"/>
        <w:sz w:val="28"/>
        <w:szCs w:val="28"/>
        <w:lang w:val="en-US" w:eastAsia="zh-TW" w:bidi="ar-SA"/>
      </w:rPr>
    </w:lvl>
    <w:lvl w:ilvl="2">
      <w:start w:val="1"/>
      <w:numFmt w:val="decimal"/>
      <w:lvlText w:val="%3、"/>
      <w:lvlJc w:val="left"/>
      <w:pPr>
        <w:ind w:left="1589" w:hanging="454"/>
        <w:jc w:val="left"/>
      </w:pPr>
      <w:rPr>
        <w:rFonts w:hint="default" w:ascii="SimSun" w:hAnsi="SimSun" w:eastAsia="SimSun" w:cs="SimSun"/>
        <w:b w:val="0"/>
        <w:bCs w:val="0"/>
        <w:i w:val="0"/>
        <w:iCs w:val="0"/>
        <w:spacing w:val="-2"/>
        <w:w w:val="100"/>
        <w:sz w:val="28"/>
        <w:szCs w:val="28"/>
        <w:lang w:val="en-US" w:eastAsia="zh-TW" w:bidi="ar-SA"/>
      </w:rPr>
    </w:lvl>
    <w:lvl w:ilvl="3">
      <w:start w:val="0"/>
      <w:numFmt w:val="bullet"/>
      <w:lvlText w:val="•"/>
      <w:lvlJc w:val="left"/>
      <w:pPr>
        <w:ind w:left="2664" w:hanging="454"/>
      </w:pPr>
      <w:rPr>
        <w:rFonts w:hint="default"/>
        <w:lang w:val="en-US" w:eastAsia="zh-TW" w:bidi="ar-SA"/>
      </w:rPr>
    </w:lvl>
    <w:lvl w:ilvl="4">
      <w:start w:val="0"/>
      <w:numFmt w:val="bullet"/>
      <w:lvlText w:val="•"/>
      <w:lvlJc w:val="left"/>
      <w:pPr>
        <w:ind w:left="3749" w:hanging="454"/>
      </w:pPr>
      <w:rPr>
        <w:rFonts w:hint="default"/>
        <w:lang w:val="en-US" w:eastAsia="zh-TW" w:bidi="ar-SA"/>
      </w:rPr>
    </w:lvl>
    <w:lvl w:ilvl="5">
      <w:start w:val="0"/>
      <w:numFmt w:val="bullet"/>
      <w:lvlText w:val="•"/>
      <w:lvlJc w:val="left"/>
      <w:pPr>
        <w:ind w:left="4833" w:hanging="454"/>
      </w:pPr>
      <w:rPr>
        <w:rFonts w:hint="default"/>
        <w:lang w:val="en-US" w:eastAsia="zh-TW" w:bidi="ar-SA"/>
      </w:rPr>
    </w:lvl>
    <w:lvl w:ilvl="6">
      <w:start w:val="0"/>
      <w:numFmt w:val="bullet"/>
      <w:lvlText w:val="•"/>
      <w:lvlJc w:val="left"/>
      <w:pPr>
        <w:ind w:left="5918" w:hanging="454"/>
      </w:pPr>
      <w:rPr>
        <w:rFonts w:hint="default"/>
        <w:lang w:val="en-US" w:eastAsia="zh-TW" w:bidi="ar-SA"/>
      </w:rPr>
    </w:lvl>
    <w:lvl w:ilvl="7">
      <w:start w:val="0"/>
      <w:numFmt w:val="bullet"/>
      <w:lvlText w:val="•"/>
      <w:lvlJc w:val="left"/>
      <w:pPr>
        <w:ind w:left="7003" w:hanging="454"/>
      </w:pPr>
      <w:rPr>
        <w:rFonts w:hint="default"/>
        <w:lang w:val="en-US" w:eastAsia="zh-TW" w:bidi="ar-SA"/>
      </w:rPr>
    </w:lvl>
    <w:lvl w:ilvl="8">
      <w:start w:val="0"/>
      <w:numFmt w:val="bullet"/>
      <w:lvlText w:val="•"/>
      <w:lvlJc w:val="left"/>
      <w:pPr>
        <w:ind w:left="8087" w:hanging="454"/>
      </w:pPr>
      <w:rPr>
        <w:rFonts w:hint="default"/>
        <w:lang w:val="en-US" w:eastAsia="zh-TW" w:bidi="ar-SA"/>
      </w:rPr>
    </w:lvl>
  </w:abstractNum>
  <w:abstractNum w:abstractNumId="12">
    <w:multiLevelType w:val="hybridMultilevel"/>
    <w:lvl w:ilvl="0">
      <w:start w:val="3"/>
      <w:numFmt w:val="chineseCountingThousand"/>
      <w:lvlText w:val="(%1)"/>
      <w:lvlJc w:val="left"/>
      <w:pPr>
        <w:ind w:left="1488" w:hanging="636"/>
        <w:jc w:val="left"/>
      </w:pPr>
      <w:rPr>
        <w:rFonts w:hint="default" w:ascii="SimSun" w:hAnsi="SimSun" w:eastAsia="SimSun" w:cs="SimSun"/>
        <w:b w:val="0"/>
        <w:bCs w:val="0"/>
        <w:i w:val="0"/>
        <w:iCs w:val="0"/>
        <w:spacing w:val="-2"/>
        <w:w w:val="100"/>
        <w:sz w:val="28"/>
        <w:szCs w:val="28"/>
        <w:lang w:val="en-US" w:eastAsia="zh-TW" w:bidi="ar-SA"/>
      </w:rPr>
    </w:lvl>
    <w:lvl w:ilvl="1">
      <w:start w:val="1"/>
      <w:numFmt w:val="decimal"/>
      <w:lvlText w:val="%2、"/>
      <w:lvlJc w:val="left"/>
      <w:pPr>
        <w:ind w:left="1589" w:hanging="454"/>
        <w:jc w:val="left"/>
      </w:pPr>
      <w:rPr>
        <w:rFonts w:hint="default" w:ascii="SimSun" w:hAnsi="SimSun" w:eastAsia="SimSun" w:cs="SimSun"/>
        <w:b w:val="0"/>
        <w:bCs w:val="0"/>
        <w:i w:val="0"/>
        <w:iCs w:val="0"/>
        <w:spacing w:val="-2"/>
        <w:w w:val="100"/>
        <w:sz w:val="28"/>
        <w:szCs w:val="28"/>
        <w:lang w:val="en-US" w:eastAsia="zh-TW" w:bidi="ar-SA"/>
      </w:rPr>
    </w:lvl>
    <w:lvl w:ilvl="2">
      <w:start w:val="0"/>
      <w:numFmt w:val="bullet"/>
      <w:lvlText w:val="•"/>
      <w:lvlJc w:val="left"/>
      <w:pPr>
        <w:ind w:left="2544" w:hanging="454"/>
      </w:pPr>
      <w:rPr>
        <w:rFonts w:hint="default"/>
        <w:lang w:val="en-US" w:eastAsia="zh-TW" w:bidi="ar-SA"/>
      </w:rPr>
    </w:lvl>
    <w:lvl w:ilvl="3">
      <w:start w:val="0"/>
      <w:numFmt w:val="bullet"/>
      <w:lvlText w:val="•"/>
      <w:lvlJc w:val="left"/>
      <w:pPr>
        <w:ind w:left="3508" w:hanging="454"/>
      </w:pPr>
      <w:rPr>
        <w:rFonts w:hint="default"/>
        <w:lang w:val="en-US" w:eastAsia="zh-TW" w:bidi="ar-SA"/>
      </w:rPr>
    </w:lvl>
    <w:lvl w:ilvl="4">
      <w:start w:val="0"/>
      <w:numFmt w:val="bullet"/>
      <w:lvlText w:val="•"/>
      <w:lvlJc w:val="left"/>
      <w:pPr>
        <w:ind w:left="4472" w:hanging="454"/>
      </w:pPr>
      <w:rPr>
        <w:rFonts w:hint="default"/>
        <w:lang w:val="en-US" w:eastAsia="zh-TW" w:bidi="ar-SA"/>
      </w:rPr>
    </w:lvl>
    <w:lvl w:ilvl="5">
      <w:start w:val="0"/>
      <w:numFmt w:val="bullet"/>
      <w:lvlText w:val="•"/>
      <w:lvlJc w:val="left"/>
      <w:pPr>
        <w:ind w:left="5436" w:hanging="454"/>
      </w:pPr>
      <w:rPr>
        <w:rFonts w:hint="default"/>
        <w:lang w:val="en-US" w:eastAsia="zh-TW" w:bidi="ar-SA"/>
      </w:rPr>
    </w:lvl>
    <w:lvl w:ilvl="6">
      <w:start w:val="0"/>
      <w:numFmt w:val="bullet"/>
      <w:lvlText w:val="•"/>
      <w:lvlJc w:val="left"/>
      <w:pPr>
        <w:ind w:left="6400" w:hanging="454"/>
      </w:pPr>
      <w:rPr>
        <w:rFonts w:hint="default"/>
        <w:lang w:val="en-US" w:eastAsia="zh-TW" w:bidi="ar-SA"/>
      </w:rPr>
    </w:lvl>
    <w:lvl w:ilvl="7">
      <w:start w:val="0"/>
      <w:numFmt w:val="bullet"/>
      <w:lvlText w:val="•"/>
      <w:lvlJc w:val="left"/>
      <w:pPr>
        <w:ind w:left="7364" w:hanging="454"/>
      </w:pPr>
      <w:rPr>
        <w:rFonts w:hint="default"/>
        <w:lang w:val="en-US" w:eastAsia="zh-TW" w:bidi="ar-SA"/>
      </w:rPr>
    </w:lvl>
    <w:lvl w:ilvl="8">
      <w:start w:val="0"/>
      <w:numFmt w:val="bullet"/>
      <w:lvlText w:val="•"/>
      <w:lvlJc w:val="left"/>
      <w:pPr>
        <w:ind w:left="8328" w:hanging="454"/>
      </w:pPr>
      <w:rPr>
        <w:rFonts w:hint="default"/>
        <w:lang w:val="en-US" w:eastAsia="zh-TW" w:bidi="ar-SA"/>
      </w:rPr>
    </w:lvl>
  </w:abstractNum>
  <w:abstractNum w:abstractNumId="11">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1"/>
      <w:numFmt w:val="chineseCountingThousand"/>
      <w:lvlText w:val="(%2)"/>
      <w:lvlJc w:val="left"/>
      <w:pPr>
        <w:ind w:left="1488" w:hanging="636"/>
        <w:jc w:val="left"/>
      </w:pPr>
      <w:rPr>
        <w:rFonts w:hint="default" w:ascii="SimSun" w:hAnsi="SimSun" w:eastAsia="SimSun" w:cs="SimSun"/>
        <w:b w:val="0"/>
        <w:bCs w:val="0"/>
        <w:i w:val="0"/>
        <w:iCs w:val="0"/>
        <w:spacing w:val="-2"/>
        <w:w w:val="100"/>
        <w:sz w:val="28"/>
        <w:szCs w:val="28"/>
        <w:lang w:val="en-US" w:eastAsia="zh-TW" w:bidi="ar-SA"/>
      </w:rPr>
    </w:lvl>
    <w:lvl w:ilvl="2">
      <w:start w:val="0"/>
      <w:numFmt w:val="bullet"/>
      <w:lvlText w:val="•"/>
      <w:lvlJc w:val="left"/>
      <w:pPr>
        <w:ind w:left="2455" w:hanging="636"/>
      </w:pPr>
      <w:rPr>
        <w:rFonts w:hint="default"/>
        <w:lang w:val="en-US" w:eastAsia="zh-TW" w:bidi="ar-SA"/>
      </w:rPr>
    </w:lvl>
    <w:lvl w:ilvl="3">
      <w:start w:val="0"/>
      <w:numFmt w:val="bullet"/>
      <w:lvlText w:val="•"/>
      <w:lvlJc w:val="left"/>
      <w:pPr>
        <w:ind w:left="3430" w:hanging="636"/>
      </w:pPr>
      <w:rPr>
        <w:rFonts w:hint="default"/>
        <w:lang w:val="en-US" w:eastAsia="zh-TW" w:bidi="ar-SA"/>
      </w:rPr>
    </w:lvl>
    <w:lvl w:ilvl="4">
      <w:start w:val="0"/>
      <w:numFmt w:val="bullet"/>
      <w:lvlText w:val="•"/>
      <w:lvlJc w:val="left"/>
      <w:pPr>
        <w:ind w:left="4405" w:hanging="636"/>
      </w:pPr>
      <w:rPr>
        <w:rFonts w:hint="default"/>
        <w:lang w:val="en-US" w:eastAsia="zh-TW" w:bidi="ar-SA"/>
      </w:rPr>
    </w:lvl>
    <w:lvl w:ilvl="5">
      <w:start w:val="0"/>
      <w:numFmt w:val="bullet"/>
      <w:lvlText w:val="•"/>
      <w:lvlJc w:val="left"/>
      <w:pPr>
        <w:ind w:left="5380" w:hanging="636"/>
      </w:pPr>
      <w:rPr>
        <w:rFonts w:hint="default"/>
        <w:lang w:val="en-US" w:eastAsia="zh-TW" w:bidi="ar-SA"/>
      </w:rPr>
    </w:lvl>
    <w:lvl w:ilvl="6">
      <w:start w:val="0"/>
      <w:numFmt w:val="bullet"/>
      <w:lvlText w:val="•"/>
      <w:lvlJc w:val="left"/>
      <w:pPr>
        <w:ind w:left="6356" w:hanging="636"/>
      </w:pPr>
      <w:rPr>
        <w:rFonts w:hint="default"/>
        <w:lang w:val="en-US" w:eastAsia="zh-TW" w:bidi="ar-SA"/>
      </w:rPr>
    </w:lvl>
    <w:lvl w:ilvl="7">
      <w:start w:val="0"/>
      <w:numFmt w:val="bullet"/>
      <w:lvlText w:val="•"/>
      <w:lvlJc w:val="left"/>
      <w:pPr>
        <w:ind w:left="7331" w:hanging="636"/>
      </w:pPr>
      <w:rPr>
        <w:rFonts w:hint="default"/>
        <w:lang w:val="en-US" w:eastAsia="zh-TW" w:bidi="ar-SA"/>
      </w:rPr>
    </w:lvl>
    <w:lvl w:ilvl="8">
      <w:start w:val="0"/>
      <w:numFmt w:val="bullet"/>
      <w:lvlText w:val="•"/>
      <w:lvlJc w:val="left"/>
      <w:pPr>
        <w:ind w:left="8306" w:hanging="636"/>
      </w:pPr>
      <w:rPr>
        <w:rFonts w:hint="default"/>
        <w:lang w:val="en-US" w:eastAsia="zh-TW" w:bidi="ar-SA"/>
      </w:rPr>
    </w:lvl>
  </w:abstractNum>
  <w:abstractNum w:abstractNumId="10">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9">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8">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7">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6">
    <w:multiLevelType w:val="hybridMultilevel"/>
    <w:lvl w:ilvl="0">
      <w:start w:val="3"/>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5">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4">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3">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2">
    <w:multiLevelType w:val="hybridMultilevel"/>
    <w:lvl w:ilvl="0">
      <w:start w:val="0"/>
      <w:numFmt w:val="bullet"/>
      <w:lvlText w:val=""/>
      <w:lvlJc w:val="left"/>
      <w:pPr>
        <w:ind w:left="1293" w:hanging="406"/>
      </w:pPr>
      <w:rPr>
        <w:rFonts w:hint="default" w:ascii="Wingdings" w:hAnsi="Wingdings" w:eastAsia="Wingdings" w:cs="Wingdings"/>
        <w:b w:val="0"/>
        <w:bCs w:val="0"/>
        <w:i w:val="0"/>
        <w:iCs w:val="0"/>
        <w:spacing w:val="0"/>
        <w:w w:val="100"/>
        <w:sz w:val="28"/>
        <w:szCs w:val="28"/>
        <w:lang w:val="en-US" w:eastAsia="zh-TW" w:bidi="ar-SA"/>
      </w:rPr>
    </w:lvl>
    <w:lvl w:ilvl="1">
      <w:start w:val="0"/>
      <w:numFmt w:val="bullet"/>
      <w:lvlText w:val="•"/>
      <w:lvlJc w:val="left"/>
      <w:pPr>
        <w:ind w:left="2195" w:hanging="406"/>
      </w:pPr>
      <w:rPr>
        <w:rFonts w:hint="default"/>
        <w:lang w:val="en-US" w:eastAsia="zh-TW" w:bidi="ar-SA"/>
      </w:rPr>
    </w:lvl>
    <w:lvl w:ilvl="2">
      <w:start w:val="0"/>
      <w:numFmt w:val="bullet"/>
      <w:lvlText w:val="•"/>
      <w:lvlJc w:val="left"/>
      <w:pPr>
        <w:ind w:left="3091" w:hanging="406"/>
      </w:pPr>
      <w:rPr>
        <w:rFonts w:hint="default"/>
        <w:lang w:val="en-US" w:eastAsia="zh-TW" w:bidi="ar-SA"/>
      </w:rPr>
    </w:lvl>
    <w:lvl w:ilvl="3">
      <w:start w:val="0"/>
      <w:numFmt w:val="bullet"/>
      <w:lvlText w:val="•"/>
      <w:lvlJc w:val="left"/>
      <w:pPr>
        <w:ind w:left="3987" w:hanging="406"/>
      </w:pPr>
      <w:rPr>
        <w:rFonts w:hint="default"/>
        <w:lang w:val="en-US" w:eastAsia="zh-TW" w:bidi="ar-SA"/>
      </w:rPr>
    </w:lvl>
    <w:lvl w:ilvl="4">
      <w:start w:val="0"/>
      <w:numFmt w:val="bullet"/>
      <w:lvlText w:val="•"/>
      <w:lvlJc w:val="left"/>
      <w:pPr>
        <w:ind w:left="4882" w:hanging="406"/>
      </w:pPr>
      <w:rPr>
        <w:rFonts w:hint="default"/>
        <w:lang w:val="en-US" w:eastAsia="zh-TW" w:bidi="ar-SA"/>
      </w:rPr>
    </w:lvl>
    <w:lvl w:ilvl="5">
      <w:start w:val="0"/>
      <w:numFmt w:val="bullet"/>
      <w:lvlText w:val="•"/>
      <w:lvlJc w:val="left"/>
      <w:pPr>
        <w:ind w:left="5778" w:hanging="406"/>
      </w:pPr>
      <w:rPr>
        <w:rFonts w:hint="default"/>
        <w:lang w:val="en-US" w:eastAsia="zh-TW" w:bidi="ar-SA"/>
      </w:rPr>
    </w:lvl>
    <w:lvl w:ilvl="6">
      <w:start w:val="0"/>
      <w:numFmt w:val="bullet"/>
      <w:lvlText w:val="•"/>
      <w:lvlJc w:val="left"/>
      <w:pPr>
        <w:ind w:left="6674" w:hanging="406"/>
      </w:pPr>
      <w:rPr>
        <w:rFonts w:hint="default"/>
        <w:lang w:val="en-US" w:eastAsia="zh-TW" w:bidi="ar-SA"/>
      </w:rPr>
    </w:lvl>
    <w:lvl w:ilvl="7">
      <w:start w:val="0"/>
      <w:numFmt w:val="bullet"/>
      <w:lvlText w:val="•"/>
      <w:lvlJc w:val="left"/>
      <w:pPr>
        <w:ind w:left="7569" w:hanging="406"/>
      </w:pPr>
      <w:rPr>
        <w:rFonts w:hint="default"/>
        <w:lang w:val="en-US" w:eastAsia="zh-TW" w:bidi="ar-SA"/>
      </w:rPr>
    </w:lvl>
    <w:lvl w:ilvl="8">
      <w:start w:val="0"/>
      <w:numFmt w:val="bullet"/>
      <w:lvlText w:val="•"/>
      <w:lvlJc w:val="left"/>
      <w:pPr>
        <w:ind w:left="8465" w:hanging="406"/>
      </w:pPr>
      <w:rPr>
        <w:rFonts w:hint="default"/>
        <w:lang w:val="en-US" w:eastAsia="zh-TW" w:bidi="ar-SA"/>
      </w:rPr>
    </w:lvl>
  </w:abstractNum>
  <w:abstractNum w:abstractNumId="1">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abstractNum w:abstractNumId="0">
    <w:multiLevelType w:val="hybridMultilevel"/>
    <w:lvl w:ilvl="0">
      <w:start w:val="1"/>
      <w:numFmt w:val="chineseCountingThousand"/>
      <w:lvlText w:val="%1、"/>
      <w:lvlJc w:val="left"/>
      <w:pPr>
        <w:ind w:left="1277" w:hanging="567"/>
        <w:jc w:val="left"/>
      </w:pPr>
      <w:rPr>
        <w:rFonts w:hint="default" w:ascii="SimSun" w:hAnsi="SimSun" w:eastAsia="SimSun" w:cs="SimSun"/>
        <w:b w:val="0"/>
        <w:bCs w:val="0"/>
        <w:i w:val="0"/>
        <w:iCs w:val="0"/>
        <w:spacing w:val="0"/>
        <w:w w:val="100"/>
        <w:sz w:val="26"/>
        <w:szCs w:val="26"/>
        <w:lang w:val="en-US" w:eastAsia="zh-TW" w:bidi="ar-SA"/>
      </w:rPr>
    </w:lvl>
    <w:lvl w:ilvl="1">
      <w:start w:val="0"/>
      <w:numFmt w:val="bullet"/>
      <w:lvlText w:val="•"/>
      <w:lvlJc w:val="left"/>
      <w:pPr>
        <w:ind w:left="2177" w:hanging="567"/>
      </w:pPr>
      <w:rPr>
        <w:rFonts w:hint="default"/>
        <w:lang w:val="en-US" w:eastAsia="zh-TW" w:bidi="ar-SA"/>
      </w:rPr>
    </w:lvl>
    <w:lvl w:ilvl="2">
      <w:start w:val="0"/>
      <w:numFmt w:val="bullet"/>
      <w:lvlText w:val="•"/>
      <w:lvlJc w:val="left"/>
      <w:pPr>
        <w:ind w:left="3075" w:hanging="567"/>
      </w:pPr>
      <w:rPr>
        <w:rFonts w:hint="default"/>
        <w:lang w:val="en-US" w:eastAsia="zh-TW" w:bidi="ar-SA"/>
      </w:rPr>
    </w:lvl>
    <w:lvl w:ilvl="3">
      <w:start w:val="0"/>
      <w:numFmt w:val="bullet"/>
      <w:lvlText w:val="•"/>
      <w:lvlJc w:val="left"/>
      <w:pPr>
        <w:ind w:left="3973" w:hanging="567"/>
      </w:pPr>
      <w:rPr>
        <w:rFonts w:hint="default"/>
        <w:lang w:val="en-US" w:eastAsia="zh-TW" w:bidi="ar-SA"/>
      </w:rPr>
    </w:lvl>
    <w:lvl w:ilvl="4">
      <w:start w:val="0"/>
      <w:numFmt w:val="bullet"/>
      <w:lvlText w:val="•"/>
      <w:lvlJc w:val="left"/>
      <w:pPr>
        <w:ind w:left="4870" w:hanging="567"/>
      </w:pPr>
      <w:rPr>
        <w:rFonts w:hint="default"/>
        <w:lang w:val="en-US" w:eastAsia="zh-TW" w:bidi="ar-SA"/>
      </w:rPr>
    </w:lvl>
    <w:lvl w:ilvl="5">
      <w:start w:val="0"/>
      <w:numFmt w:val="bullet"/>
      <w:lvlText w:val="•"/>
      <w:lvlJc w:val="left"/>
      <w:pPr>
        <w:ind w:left="5768" w:hanging="567"/>
      </w:pPr>
      <w:rPr>
        <w:rFonts w:hint="default"/>
        <w:lang w:val="en-US" w:eastAsia="zh-TW" w:bidi="ar-SA"/>
      </w:rPr>
    </w:lvl>
    <w:lvl w:ilvl="6">
      <w:start w:val="0"/>
      <w:numFmt w:val="bullet"/>
      <w:lvlText w:val="•"/>
      <w:lvlJc w:val="left"/>
      <w:pPr>
        <w:ind w:left="6666" w:hanging="567"/>
      </w:pPr>
      <w:rPr>
        <w:rFonts w:hint="default"/>
        <w:lang w:val="en-US" w:eastAsia="zh-TW" w:bidi="ar-SA"/>
      </w:rPr>
    </w:lvl>
    <w:lvl w:ilvl="7">
      <w:start w:val="0"/>
      <w:numFmt w:val="bullet"/>
      <w:lvlText w:val="•"/>
      <w:lvlJc w:val="left"/>
      <w:pPr>
        <w:ind w:left="7563" w:hanging="567"/>
      </w:pPr>
      <w:rPr>
        <w:rFonts w:hint="default"/>
        <w:lang w:val="en-US" w:eastAsia="zh-TW" w:bidi="ar-SA"/>
      </w:rPr>
    </w:lvl>
    <w:lvl w:ilvl="8">
      <w:start w:val="0"/>
      <w:numFmt w:val="bullet"/>
      <w:lvlText w:val="•"/>
      <w:lvlJc w:val="left"/>
      <w:pPr>
        <w:ind w:left="8461" w:hanging="567"/>
      </w:pPr>
      <w:rPr>
        <w:rFonts w:hint="default"/>
        <w:lang w:val="en-US" w:eastAsia="zh-TW"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TW" w:bidi="ar-SA"/>
    </w:rPr>
  </w:style>
  <w:style w:styleId="BodyText" w:type="paragraph">
    <w:name w:val="Body Text"/>
    <w:basedOn w:val="Normal"/>
    <w:uiPriority w:val="1"/>
    <w:qFormat/>
    <w:pPr/>
    <w:rPr>
      <w:rFonts w:ascii="Calibri" w:hAnsi="Calibri" w:eastAsia="Calibri" w:cs="Calibri"/>
      <w:sz w:val="20"/>
      <w:szCs w:val="20"/>
      <w:lang w:val="en-US" w:eastAsia="zh-TW" w:bidi="ar-SA"/>
    </w:rPr>
  </w:style>
  <w:style w:styleId="ListParagraph" w:type="paragraph">
    <w:name w:val="List Paragraph"/>
    <w:basedOn w:val="Normal"/>
    <w:uiPriority w:val="1"/>
    <w:qFormat/>
    <w:pPr/>
    <w:rPr>
      <w:lang w:val="en-US" w:eastAsia="zh-TW" w:bidi="ar-SA"/>
    </w:rPr>
  </w:style>
  <w:style w:styleId="TableParagraph" w:type="paragraph">
    <w:name w:val="Table Paragraph"/>
    <w:basedOn w:val="Normal"/>
    <w:uiPriority w:val="1"/>
    <w:qFormat/>
    <w:pPr>
      <w:ind w:left="909"/>
    </w:pPr>
    <w:rPr>
      <w:rFonts w:ascii="SimSun" w:hAnsi="SimSun" w:eastAsia="SimSun" w:cs="SimSun"/>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王齡儀</dc:creator>
  <dcterms:created xsi:type="dcterms:W3CDTF">2026-07-28T06:37:19Z</dcterms:created>
  <dcterms:modified xsi:type="dcterms:W3CDTF">2026-07-28T06:37:19Z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2025-08-20T00:00:00Z</vt:filetime>
  </property>
  <property fmtid="{D5CDD505-2E9C-101B-9397-08002B2CF9AE}" pid="4" name="Creator">
    <vt:lpwstr>Microsoft® Word 2016</vt:lpwstr>
  </property>
  <property fmtid="{D5CDD505-2E9C-101B-9397-08002B2CF9AE}" pid="5" name="LastSaved">
    <vt:filetime>2026-07-28T00:00:00Z</vt:filetime>
  </property>
  <property fmtid="{D5CDD505-2E9C-101B-9397-08002B2CF9AE}" pid="6" name="Producer">
    <vt:lpwstr>Microsoft® Word 2016</vt:lpwstr>
  </property>
</Properties>
</file>