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D6" w:rsidRPr="00C534E3" w:rsidRDefault="00C534E3">
      <w:pPr>
        <w:pStyle w:val="Standard"/>
        <w:spacing w:after="180" w:line="480" w:lineRule="exact"/>
        <w:jc w:val="both"/>
        <w:rPr>
          <w:rFonts w:asciiTheme="minorEastAsia" w:eastAsiaTheme="minorEastAsia" w:hAnsiTheme="minorEastAsia" w:hint="eastAsia"/>
        </w:rPr>
      </w:pPr>
      <w:bookmarkStart w:id="0" w:name="_GoBack"/>
      <w:r w:rsidRPr="00C534E3">
        <w:rPr>
          <w:rFonts w:asciiTheme="minorEastAsia" w:eastAsiaTheme="minorEastAsia" w:hAnsiTheme="minorEastAsia" w:cs="Arial" w:hint="eastAsia"/>
          <w:color w:val="000000"/>
          <w:sz w:val="28"/>
          <w:szCs w:val="28"/>
        </w:rPr>
        <w:t>附表二、</w:t>
      </w:r>
      <w:r w:rsidRPr="00C534E3">
        <w:rPr>
          <w:rFonts w:asciiTheme="minorEastAsia" w:eastAsiaTheme="minorEastAsia" w:hAnsiTheme="minorEastAsia" w:hint="eastAsia"/>
        </w:rPr>
        <w:t>建築物使用類組使用項目舉例</w:t>
      </w:r>
      <w:bookmarkEnd w:id="0"/>
    </w:p>
    <w:tbl>
      <w:tblPr>
        <w:tblW w:w="9578" w:type="dxa"/>
        <w:tblInd w:w="-33" w:type="dxa"/>
        <w:tblLayout w:type="fixed"/>
        <w:tblCellMar>
          <w:left w:w="10" w:type="dxa"/>
          <w:right w:w="10" w:type="dxa"/>
        </w:tblCellMar>
        <w:tblLook w:val="0000" w:firstRow="0" w:lastRow="0" w:firstColumn="0" w:lastColumn="0" w:noHBand="0" w:noVBand="0"/>
      </w:tblPr>
      <w:tblGrid>
        <w:gridCol w:w="1108"/>
        <w:gridCol w:w="8470"/>
      </w:tblGrid>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before="90" w:after="90" w:line="240" w:lineRule="atLeast"/>
              <w:jc w:val="center"/>
            </w:pPr>
            <w:r>
              <w:rPr>
                <w:rFonts w:ascii="Arial" w:eastAsia="標楷體" w:hAnsi="Arial" w:cs="Arial"/>
                <w:color w:val="000000"/>
                <w:spacing w:val="40"/>
                <w:sz w:val="28"/>
                <w:szCs w:val="28"/>
              </w:rPr>
              <w:t>類組</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before="90" w:after="90" w:line="240" w:lineRule="atLeast"/>
              <w:jc w:val="center"/>
              <w:rPr>
                <w:rFonts w:ascii="Arial" w:eastAsia="標楷體" w:hAnsi="Arial" w:cs="Arial"/>
                <w:color w:val="000000"/>
                <w:spacing w:val="40"/>
                <w:sz w:val="28"/>
                <w:szCs w:val="28"/>
              </w:rPr>
            </w:pPr>
            <w:r>
              <w:rPr>
                <w:rFonts w:ascii="Arial" w:eastAsia="標楷體" w:hAnsi="Arial" w:cs="Arial"/>
                <w:color w:val="000000"/>
                <w:spacing w:val="40"/>
                <w:sz w:val="28"/>
                <w:szCs w:val="28"/>
              </w:rPr>
              <w:t>使用項目舉例</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snapToGrid w:val="0"/>
              <w:spacing w:line="200" w:lineRule="atLeast"/>
              <w:jc w:val="center"/>
              <w:rPr>
                <w:rFonts w:ascii="標楷體" w:eastAsia="標楷體" w:hAnsi="標楷體" w:cs="Arial"/>
                <w:color w:val="000000"/>
                <w:sz w:val="28"/>
                <w:szCs w:val="28"/>
              </w:rPr>
            </w:pPr>
            <w:r>
              <w:rPr>
                <w:rFonts w:ascii="標楷體" w:eastAsia="標楷體" w:hAnsi="標楷體" w:cs="Arial"/>
                <w:color w:val="000000"/>
                <w:sz w:val="28"/>
                <w:szCs w:val="28"/>
              </w:rPr>
              <w:t>A-1</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戲（劇）院、電影院、演藝場、歌廳、觀覽場等類似場所。</w:t>
            </w:r>
          </w:p>
          <w:p w:rsidR="00EB2DD6" w:rsidRDefault="00C534E3">
            <w:pPr>
              <w:pStyle w:val="Standard"/>
              <w:wordWrap w:val="0"/>
              <w:overflowPunct w:val="0"/>
              <w:autoSpaceDE w:val="0"/>
              <w:spacing w:line="400" w:lineRule="exact"/>
              <w:ind w:left="240" w:hanging="240"/>
              <w:jc w:val="both"/>
            </w:pPr>
            <w:r>
              <w:rPr>
                <w:rFonts w:ascii="標楷體" w:eastAsia="標楷體" w:hAnsi="標楷體" w:cs="Arial"/>
                <w:color w:val="000000"/>
              </w:rPr>
              <w:t>2.</w:t>
            </w:r>
            <w:r>
              <w:rPr>
                <w:rFonts w:ascii="標楷體" w:eastAsia="標楷體" w:hAnsi="標楷體" w:cs="Arial"/>
                <w:color w:val="000000"/>
              </w:rPr>
              <w:t>觀眾席面積在二百平方公尺以上之下列場所：體育館（場）及設施、音樂廳、文康中心、社教館、集會堂（場）、社區（村里）活動中心等類似場所。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snapToGrid w:val="0"/>
              <w:spacing w:line="200" w:lineRule="atLeast"/>
              <w:jc w:val="center"/>
              <w:rPr>
                <w:rFonts w:ascii="標楷體" w:eastAsia="標楷體" w:hAnsi="標楷體" w:cs="Arial"/>
                <w:color w:val="000000"/>
                <w:sz w:val="28"/>
                <w:szCs w:val="28"/>
              </w:rPr>
            </w:pPr>
            <w:r>
              <w:rPr>
                <w:rFonts w:ascii="標楷體" w:eastAsia="標楷體" w:hAnsi="標楷體" w:cs="Arial"/>
                <w:color w:val="000000"/>
                <w:sz w:val="28"/>
                <w:szCs w:val="28"/>
              </w:rPr>
              <w:t>A-2</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right="38" w:hanging="240"/>
              <w:jc w:val="both"/>
              <w:rPr>
                <w:rFonts w:ascii="標楷體" w:eastAsia="標楷體" w:hAnsi="標楷體" w:cs="Arial"/>
                <w:color w:val="000000"/>
              </w:rPr>
            </w:pPr>
            <w:r>
              <w:rPr>
                <w:rFonts w:ascii="標楷體" w:eastAsia="標楷體" w:hAnsi="標楷體" w:cs="Arial"/>
                <w:color w:val="000000"/>
              </w:rPr>
              <w:t>1.</w:t>
            </w:r>
            <w:r>
              <w:rPr>
                <w:rFonts w:ascii="標楷體" w:eastAsia="標楷體" w:hAnsi="標楷體" w:cs="Arial"/>
                <w:color w:val="000000"/>
              </w:rPr>
              <w:t>車站（公路、鐵路、大眾捷運）。</w:t>
            </w:r>
          </w:p>
          <w:p w:rsidR="00EB2DD6" w:rsidRDefault="00C534E3">
            <w:pPr>
              <w:pStyle w:val="Standard"/>
              <w:spacing w:line="400" w:lineRule="exact"/>
              <w:ind w:left="240" w:right="38" w:hanging="240"/>
              <w:jc w:val="both"/>
              <w:rPr>
                <w:rFonts w:ascii="標楷體" w:eastAsia="標楷體" w:hAnsi="標楷體" w:cs="Arial"/>
                <w:color w:val="000000"/>
              </w:rPr>
            </w:pPr>
            <w:r>
              <w:rPr>
                <w:rFonts w:ascii="標楷體" w:eastAsia="標楷體" w:hAnsi="標楷體" w:cs="Arial"/>
                <w:color w:val="000000"/>
              </w:rPr>
              <w:t>2.</w:t>
            </w:r>
            <w:r>
              <w:rPr>
                <w:rFonts w:ascii="標楷體" w:eastAsia="標楷體" w:hAnsi="標楷體" w:cs="Arial"/>
                <w:color w:val="000000"/>
              </w:rPr>
              <w:t>候船室、水運客站。</w:t>
            </w:r>
          </w:p>
          <w:p w:rsidR="00EB2DD6" w:rsidRDefault="00C534E3">
            <w:pPr>
              <w:pStyle w:val="Standard"/>
              <w:wordWrap w:val="0"/>
              <w:overflowPunct w:val="0"/>
              <w:autoSpaceDE w:val="0"/>
              <w:spacing w:line="400" w:lineRule="exact"/>
              <w:ind w:left="240" w:right="38" w:hanging="240"/>
              <w:jc w:val="both"/>
              <w:rPr>
                <w:rFonts w:ascii="標楷體" w:eastAsia="標楷體" w:hAnsi="標楷體" w:cs="Arial"/>
                <w:color w:val="000000"/>
              </w:rPr>
            </w:pPr>
            <w:r>
              <w:rPr>
                <w:rFonts w:ascii="標楷體" w:eastAsia="標楷體" w:hAnsi="標楷體" w:cs="Arial"/>
                <w:color w:val="000000"/>
              </w:rPr>
              <w:t>3.</w:t>
            </w:r>
            <w:r>
              <w:rPr>
                <w:rFonts w:ascii="標楷體" w:eastAsia="標楷體" w:hAnsi="標楷體" w:cs="Arial"/>
                <w:color w:val="000000"/>
              </w:rPr>
              <w:t>航空站、飛機場大廈。</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snapToGrid w:val="0"/>
              <w:spacing w:line="200" w:lineRule="atLeast"/>
              <w:jc w:val="center"/>
              <w:rPr>
                <w:rFonts w:ascii="標楷體" w:eastAsia="標楷體" w:hAnsi="標楷體" w:cs="Arial"/>
                <w:color w:val="000000"/>
                <w:sz w:val="28"/>
                <w:szCs w:val="28"/>
              </w:rPr>
            </w:pPr>
            <w:r>
              <w:rPr>
                <w:rFonts w:ascii="標楷體" w:eastAsia="標楷體" w:hAnsi="標楷體" w:cs="Arial"/>
                <w:color w:val="000000"/>
                <w:sz w:val="28"/>
                <w:szCs w:val="28"/>
              </w:rPr>
              <w:t>B-1</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視聽歌唱場所</w:t>
            </w:r>
            <w:r>
              <w:rPr>
                <w:rFonts w:ascii="標楷體" w:eastAsia="標楷體" w:hAnsi="標楷體"/>
                <w:color w:val="000000"/>
              </w:rPr>
              <w:t>（提供伴唱視聽設備，供人唱歌場所）</w:t>
            </w:r>
            <w:r>
              <w:rPr>
                <w:rFonts w:ascii="標楷體" w:eastAsia="標楷體" w:hAnsi="標楷體" w:cs="Arial"/>
                <w:color w:val="000000"/>
              </w:rPr>
              <w:t>、理髮（理容）場所</w:t>
            </w:r>
            <w:r>
              <w:rPr>
                <w:rFonts w:ascii="標楷體" w:eastAsia="標楷體" w:hAnsi="標楷體"/>
                <w:color w:val="000000"/>
              </w:rPr>
              <w:t>（將場所加以區隔或包廂式為人理髮理容之場所）</w:t>
            </w:r>
            <w:r>
              <w:rPr>
                <w:rFonts w:ascii="標楷體" w:eastAsia="標楷體" w:hAnsi="標楷體" w:cs="Arial"/>
                <w:color w:val="000000"/>
              </w:rPr>
              <w:t>、按摩場所</w:t>
            </w:r>
            <w:r>
              <w:rPr>
                <w:rFonts w:ascii="標楷體" w:eastAsia="標楷體" w:hAnsi="標楷體"/>
                <w:color w:val="000000"/>
              </w:rPr>
              <w:t>（將場所加以區隔或包廂式為人按摩之場所）</w:t>
            </w:r>
            <w:r>
              <w:rPr>
                <w:rFonts w:ascii="標楷體" w:eastAsia="標楷體" w:hAnsi="標楷體" w:cs="Arial"/>
                <w:color w:val="000000"/>
              </w:rPr>
              <w:t>、三溫暖場所（提供冷、熱水池、蒸烤設備，供人沐浴之場所）、</w:t>
            </w:r>
            <w:r>
              <w:rPr>
                <w:rFonts w:ascii="標楷體" w:eastAsia="標楷體" w:hAnsi="標楷體"/>
                <w:color w:val="000000"/>
              </w:rPr>
              <w:t>舞廳（備有舞伴，供不特定人跳舞之場所）、舞場（不備舞伴，供不特定人跳舞之場所）</w:t>
            </w:r>
            <w:r>
              <w:rPr>
                <w:rFonts w:ascii="標楷體" w:eastAsia="標楷體" w:hAnsi="標楷體" w:cs="Arial"/>
                <w:color w:val="000000"/>
              </w:rPr>
              <w:t>、酒家（備有陪侍，供應酒、菜或其他飲食物之場所）、酒吧（備有陪侍，供應酒類或其他飲料之場所）、特種咖啡茶室（備有陪侍，供應飲料之場所）、夜總會、遊藝場、俱樂部等類似場所。</w:t>
            </w:r>
          </w:p>
          <w:p w:rsidR="00EB2DD6" w:rsidRDefault="00C534E3">
            <w:pPr>
              <w:pStyle w:val="Standard"/>
              <w:spacing w:line="400" w:lineRule="exact"/>
              <w:ind w:left="240" w:hanging="240"/>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電子遊戲場（依電子遊戲場業管理條例定義）。</w:t>
            </w:r>
          </w:p>
          <w:p w:rsidR="00EB2DD6" w:rsidRDefault="00C534E3">
            <w:pPr>
              <w:pStyle w:val="Standard"/>
              <w:spacing w:line="400" w:lineRule="exact"/>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錄影帶（節目帶）播映場所。</w:t>
            </w:r>
          </w:p>
          <w:p w:rsidR="00EB2DD6" w:rsidRDefault="00C534E3">
            <w:pPr>
              <w:pStyle w:val="Standard"/>
              <w:spacing w:line="400" w:lineRule="exact"/>
              <w:ind w:left="240" w:right="38" w:hanging="240"/>
              <w:jc w:val="both"/>
            </w:pPr>
            <w:r>
              <w:rPr>
                <w:rFonts w:ascii="標楷體" w:eastAsia="標楷體" w:hAnsi="標楷體" w:cs="Arial"/>
                <w:color w:val="000000"/>
              </w:rPr>
              <w:t>4.</w:t>
            </w:r>
            <w:r>
              <w:rPr>
                <w:rFonts w:ascii="標楷體" w:eastAsia="標楷體" w:hAnsi="標楷體" w:cs="Arial"/>
                <w:color w:val="000000"/>
                <w:spacing w:val="-6"/>
              </w:rPr>
              <w:t>B-3</w:t>
            </w:r>
            <w:r>
              <w:rPr>
                <w:rFonts w:ascii="標楷體" w:eastAsia="標楷體" w:hAnsi="標楷體" w:cs="Arial"/>
                <w:color w:val="000000"/>
                <w:spacing w:val="-6"/>
              </w:rPr>
              <w:t>使用組別之場所，有提供表演節目等娛樂服務者。</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snapToGrid w:val="0"/>
              <w:spacing w:line="200" w:lineRule="atLeast"/>
              <w:jc w:val="center"/>
            </w:pPr>
            <w:r>
              <w:rPr>
                <w:rFonts w:ascii="標楷體" w:eastAsia="標楷體" w:hAnsi="標楷體" w:cs="Arial"/>
                <w:color w:val="000000"/>
                <w:sz w:val="28"/>
                <w:szCs w:val="28"/>
              </w:rPr>
              <w:t>B-2</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百貨公司（百貨商場）商場、市場（超級市場、零售市場、攤販集中場）、展覽場（館）、量販店、批發場所（倉儲批發、一般批發、農產品批發）等類似場所。</w:t>
            </w:r>
          </w:p>
          <w:p w:rsidR="00EB2DD6" w:rsidRDefault="00C534E3">
            <w:pPr>
              <w:pStyle w:val="Standard"/>
              <w:wordWrap w:val="0"/>
              <w:overflowPunct w:val="0"/>
              <w:autoSpaceDE w:val="0"/>
              <w:spacing w:line="400" w:lineRule="exact"/>
              <w:ind w:left="242" w:right="38" w:hanging="240"/>
              <w:jc w:val="both"/>
            </w:pPr>
            <w:r>
              <w:rPr>
                <w:rFonts w:ascii="標楷體" w:eastAsia="標楷體" w:hAnsi="標楷體" w:cs="Arial"/>
                <w:color w:val="000000"/>
              </w:rPr>
              <w:t>2.</w:t>
            </w:r>
            <w:r>
              <w:rPr>
                <w:rFonts w:ascii="標楷體" w:eastAsia="標楷體" w:hAnsi="標楷體" w:cs="Arial"/>
                <w:color w:val="000000"/>
              </w:rPr>
              <w:t>樓地板面積在五百平方公尺以上之下列場所：店舖、當舖、一般零售場所、日常用品零售場所等類似場所。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ind w:left="-120" w:right="-120"/>
              <w:jc w:val="center"/>
            </w:pPr>
            <w:r>
              <w:rPr>
                <w:rFonts w:ascii="標楷體" w:eastAsia="標楷體" w:hAnsi="標楷體" w:cs="Arial"/>
                <w:color w:val="000000"/>
                <w:sz w:val="28"/>
                <w:szCs w:val="28"/>
              </w:rPr>
              <w:t>B-3</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飲酒店（無陪侍，供應酒精飲料之餐飲服務場所，包括啤酒屋）、小吃街等類似場所。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2.</w:t>
            </w:r>
            <w:r>
              <w:rPr>
                <w:rFonts w:ascii="標楷體" w:eastAsia="標楷體" w:hAnsi="標楷體"/>
                <w:color w:val="000000"/>
              </w:rPr>
              <w:t>樓地板面積在三百平方公尺以上之下列場所：餐廳、飲食店、</w:t>
            </w:r>
            <w:r>
              <w:rPr>
                <w:rFonts w:ascii="標楷體" w:eastAsia="標楷體" w:hAnsi="標楷體" w:cs="Arial"/>
                <w:color w:val="000000"/>
              </w:rPr>
              <w:t>飲料店（無陪侍提供非酒精飲料服務之場所，包括茶藝館、咖啡店、冰果店及冷飲店等）等類似場所。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ind w:left="-120" w:right="-120"/>
              <w:jc w:val="center"/>
            </w:pPr>
            <w:r>
              <w:rPr>
                <w:rFonts w:ascii="標楷體" w:eastAsia="標楷體" w:hAnsi="標楷體" w:cs="Arial"/>
                <w:color w:val="000000"/>
                <w:sz w:val="28"/>
                <w:szCs w:val="28"/>
              </w:rPr>
              <w:t>B-4</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rPr>
                <w:rFonts w:ascii="標楷體" w:eastAsia="標楷體" w:hAnsi="標楷體" w:cs="Arial"/>
                <w:color w:val="000000"/>
              </w:rPr>
            </w:pPr>
            <w:r>
              <w:rPr>
                <w:rFonts w:ascii="標楷體" w:eastAsia="標楷體" w:hAnsi="標楷體" w:cs="Arial"/>
                <w:color w:val="000000"/>
              </w:rPr>
              <w:t>1.</w:t>
            </w:r>
            <w:r>
              <w:rPr>
                <w:rFonts w:ascii="標楷體" w:eastAsia="標楷體" w:hAnsi="標楷體" w:cs="Arial"/>
                <w:color w:val="000000"/>
              </w:rPr>
              <w:t>觀光旅館（飯店）、國際觀光旅館（飯店）等之客房部。</w:t>
            </w:r>
          </w:p>
          <w:p w:rsidR="00EB2DD6" w:rsidRDefault="00C534E3">
            <w:pPr>
              <w:pStyle w:val="Standard"/>
              <w:spacing w:line="400" w:lineRule="exact"/>
              <w:ind w:left="240" w:hanging="240"/>
              <w:jc w:val="both"/>
            </w:pPr>
            <w:r>
              <w:rPr>
                <w:rFonts w:ascii="標楷體" w:eastAsia="標楷體" w:hAnsi="標楷體" w:cs="Arial"/>
                <w:color w:val="000000"/>
              </w:rPr>
              <w:t>2.</w:t>
            </w:r>
            <w:r>
              <w:rPr>
                <w:rFonts w:ascii="標楷體" w:eastAsia="標楷體" w:hAnsi="標楷體" w:cs="Arial"/>
                <w:color w:val="000000"/>
              </w:rPr>
              <w:t>旅社、旅館、賓館等類似場所。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3.</w:t>
            </w:r>
            <w:r>
              <w:rPr>
                <w:rFonts w:ascii="標楷體" w:eastAsia="標楷體" w:hAnsi="標楷體" w:cs="Arial"/>
                <w:color w:val="000000"/>
                <w:spacing w:val="-10"/>
              </w:rPr>
              <w:t>樓地板面積在五百平方公尺以上之下列場所：招待所、供香客住宿等類似場所。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C-1</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變電所、飛機庫、汽車修理場（車輛修理場所、修車廠、修理場、車輛修配保管場、汽車站房）等類似場所。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2.</w:t>
            </w:r>
            <w:r>
              <w:rPr>
                <w:rFonts w:ascii="標楷體" w:eastAsia="標楷體" w:hAnsi="標楷體" w:cs="Arial"/>
                <w:color w:val="000000"/>
              </w:rPr>
              <w:t>特殊工作場、工場、工廠（具公害）</w:t>
            </w:r>
            <w:r>
              <w:rPr>
                <w:rFonts w:ascii="標楷體" w:eastAsia="標楷體" w:hAnsi="標楷體" w:cs="Arial"/>
                <w:color w:val="000000"/>
              </w:rPr>
              <w:t>、自來水廠、屠（電）宰場、發電場、施工機料及廢料堆置或處理場、廢棄物處理場、污水（水肥）處理貯存場等類</w:t>
            </w:r>
            <w:r>
              <w:rPr>
                <w:rFonts w:ascii="標楷體" w:eastAsia="標楷體" w:hAnsi="標楷體" w:cs="Arial"/>
                <w:color w:val="000000"/>
              </w:rPr>
              <w:lastRenderedPageBreak/>
              <w:t>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lastRenderedPageBreak/>
              <w:t>C-2</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倉庫（倉儲場）、洗車場、汽車商場（出租汽車、計程車營業站）、書庫、貨物輸配所、電信機器室（電信機房）、電視（電影、廣播電台）之攝影場（攝影棚、播送室）、實驗室等類似場所。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2.</w:t>
            </w:r>
            <w:r>
              <w:rPr>
                <w:rFonts w:ascii="標楷體" w:eastAsia="標楷體" w:hAnsi="標楷體" w:cs="Arial"/>
                <w:color w:val="000000"/>
              </w:rPr>
              <w:t>一般工場、工作場、工廠等類似場所。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D-1</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保齡球館、室內溜冰場、室內游泳池、室內球類運動場、室內機械遊樂場、室內兒童樂園、保健館、健身房、健身服務場所（三溫暖除外）、公共浴室（包括溫泉泡湯池）、</w:t>
            </w:r>
            <w:r>
              <w:rPr>
                <w:rFonts w:ascii="標楷體" w:eastAsia="標楷體" w:hAnsi="標楷體" w:cs="Arial"/>
                <w:color w:val="000000"/>
              </w:rPr>
              <w:t>室內操練場、撞球場、室內體育場所、少年服務機構（供休閒、育樂之服務設施）、室內高爾夫球練習場、室內釣蝦（魚）場、健身休閒中心、美容瘦身中心等類似場所。</w:t>
            </w:r>
          </w:p>
          <w:p w:rsidR="00EB2DD6" w:rsidRDefault="00C534E3">
            <w:pPr>
              <w:pStyle w:val="Standard"/>
              <w:wordWrap w:val="0"/>
              <w:overflowPunct w:val="0"/>
              <w:autoSpaceDE w:val="0"/>
              <w:spacing w:line="400" w:lineRule="exact"/>
              <w:ind w:left="240" w:right="38" w:hanging="240"/>
              <w:jc w:val="both"/>
              <w:rPr>
                <w:rFonts w:ascii="標楷體" w:eastAsia="標楷體" w:hAnsi="標楷體" w:cs="Arial"/>
                <w:color w:val="000000"/>
              </w:rPr>
            </w:pPr>
            <w:r>
              <w:rPr>
                <w:rFonts w:ascii="標楷體" w:eastAsia="標楷體" w:hAnsi="標楷體" w:cs="Arial"/>
                <w:color w:val="000000"/>
              </w:rPr>
              <w:t>2.</w:t>
            </w:r>
            <w:r>
              <w:rPr>
                <w:rFonts w:ascii="標楷體" w:eastAsia="標楷體" w:hAnsi="標楷體" w:cs="Arial"/>
                <w:color w:val="000000"/>
              </w:rPr>
              <w:t>資訊休閒服務場所（提供場所及電腦設備，供人透過電腦連線擷取網路上資源或利用電腦功能以磁碟、光碟供人使用之場所）。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D-2</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會議廳、展示廳、博物館、美術館、圖書館、水族館、科學館、陳列館、資料館、歷史文物館、天文臺、藝術館等類似場所。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2.</w:t>
            </w:r>
            <w:r>
              <w:rPr>
                <w:rFonts w:ascii="標楷體" w:eastAsia="標楷體" w:hAnsi="標楷體" w:cs="Arial"/>
                <w:color w:val="000000"/>
              </w:rPr>
              <w:t>觀眾席面積未達二百平方公尺</w:t>
            </w:r>
            <w:r>
              <w:rPr>
                <w:rFonts w:ascii="標楷體" w:eastAsia="標楷體" w:hAnsi="標楷體" w:cs="Arial"/>
                <w:color w:val="000000"/>
              </w:rPr>
              <w:t>之下列場所：體育館（場）及設施、音樂廳、文康中心、社教館、集會堂（場）、社區（村里）活動中心等類似場所。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D-3</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wordWrap w:val="0"/>
              <w:overflowPunct w:val="0"/>
              <w:autoSpaceDE w:val="0"/>
              <w:spacing w:line="400" w:lineRule="exact"/>
              <w:ind w:right="38"/>
              <w:jc w:val="both"/>
            </w:pPr>
            <w:r>
              <w:rPr>
                <w:rFonts w:ascii="標楷體" w:eastAsia="標楷體" w:hAnsi="標楷體" w:cs="Arial"/>
                <w:color w:val="000000"/>
              </w:rPr>
              <w:t>小學教室、教學大樓等相關教學場所。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D-4</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wordWrap w:val="0"/>
              <w:overflowPunct w:val="0"/>
              <w:autoSpaceDE w:val="0"/>
              <w:spacing w:line="400" w:lineRule="exact"/>
              <w:ind w:right="38"/>
              <w:jc w:val="both"/>
            </w:pPr>
            <w:r>
              <w:rPr>
                <w:rFonts w:ascii="標楷體" w:eastAsia="標楷體" w:hAnsi="標楷體" w:cs="Arial"/>
                <w:color w:val="000000"/>
              </w:rPr>
              <w:t>國中、高中、專科學校、學院、大學等之教室、教學大樓等相關教學場所。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D-5</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補習（訓練）班、文康機構等類似場所。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2.</w:t>
            </w:r>
            <w:r>
              <w:rPr>
                <w:rFonts w:ascii="標楷體" w:eastAsia="標楷體" w:hAnsi="標楷體" w:cs="Arial"/>
                <w:color w:val="000000"/>
              </w:rPr>
              <w:t>兒童課後照顧服務中心等類似場所。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rPr>
                <w:rFonts w:ascii="標楷體" w:eastAsia="標楷體" w:hAnsi="標楷體" w:cs="Arial"/>
                <w:color w:val="000000"/>
                <w:sz w:val="28"/>
                <w:szCs w:val="28"/>
              </w:rPr>
            </w:pPr>
            <w:r>
              <w:rPr>
                <w:rFonts w:ascii="標楷體" w:eastAsia="標楷體" w:hAnsi="標楷體" w:cs="Arial"/>
                <w:color w:val="000000"/>
                <w:sz w:val="28"/>
                <w:szCs w:val="28"/>
              </w:rPr>
              <w:t>E</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24" w:hanging="224"/>
              <w:jc w:val="both"/>
            </w:pPr>
            <w:r>
              <w:rPr>
                <w:rFonts w:ascii="標楷體" w:eastAsia="標楷體" w:hAnsi="標楷體" w:cs="Arial"/>
                <w:color w:val="000000"/>
                <w:spacing w:val="-8"/>
              </w:rPr>
              <w:t>1.</w:t>
            </w:r>
            <w:r>
              <w:rPr>
                <w:rFonts w:ascii="標楷體" w:eastAsia="標楷體" w:hAnsi="標楷體" w:cs="Arial"/>
                <w:color w:val="000000"/>
                <w:spacing w:val="-8"/>
              </w:rPr>
              <w:t>寺（寺院）、廟（廟宇）、教堂（教會）、宗祠（家廟）、宗教設施、</w:t>
            </w:r>
            <w:r>
              <w:rPr>
                <w:rFonts w:ascii="標楷體" w:eastAsia="標楷體" w:hAnsi="標楷體"/>
                <w:color w:val="000000"/>
                <w:spacing w:val="-8"/>
              </w:rPr>
              <w:t>樓地板面積未達五百平方公尺供香客住宿</w:t>
            </w:r>
            <w:r>
              <w:rPr>
                <w:rFonts w:ascii="標楷體" w:eastAsia="標楷體" w:hAnsi="標楷體" w:cs="Arial"/>
                <w:color w:val="000000"/>
                <w:spacing w:val="-8"/>
              </w:rPr>
              <w:t>等類似場所。</w:t>
            </w:r>
          </w:p>
          <w:p w:rsidR="00EB2DD6" w:rsidRDefault="00C534E3">
            <w:pPr>
              <w:pStyle w:val="Standard"/>
              <w:wordWrap w:val="0"/>
              <w:overflowPunct w:val="0"/>
              <w:autoSpaceDE w:val="0"/>
              <w:spacing w:line="400" w:lineRule="exact"/>
              <w:ind w:left="224" w:right="38" w:hanging="224"/>
              <w:jc w:val="both"/>
            </w:pPr>
            <w:r>
              <w:rPr>
                <w:rFonts w:ascii="標楷體" w:eastAsia="標楷體" w:hAnsi="標楷體" w:cs="Arial"/>
                <w:color w:val="000000"/>
                <w:spacing w:val="-8"/>
              </w:rPr>
              <w:t>2.</w:t>
            </w:r>
            <w:r>
              <w:rPr>
                <w:rFonts w:ascii="標楷體" w:eastAsia="標楷體" w:hAnsi="標楷體" w:cs="Arial"/>
                <w:color w:val="000000"/>
                <w:spacing w:val="-8"/>
              </w:rPr>
              <w:t>殯儀館、禮廳、靈堂、供存放骨灰（骸）之納骨堂（塔）、火化場</w:t>
            </w:r>
            <w:r>
              <w:rPr>
                <w:rFonts w:ascii="標楷體" w:eastAsia="標楷體" w:hAnsi="標楷體" w:cs="Arial"/>
                <w:color w:val="000000"/>
                <w:spacing w:val="-8"/>
              </w:rPr>
              <w:t>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F-1</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設有十床病床以上之下列場所：醫院、療養院等類似場所。</w:t>
            </w:r>
          </w:p>
          <w:p w:rsidR="00EB2DD6" w:rsidRDefault="00C534E3">
            <w:pPr>
              <w:pStyle w:val="Standard"/>
              <w:spacing w:line="400" w:lineRule="exact"/>
              <w:ind w:left="240" w:hanging="240"/>
              <w:jc w:val="both"/>
            </w:pPr>
            <w:r>
              <w:rPr>
                <w:rFonts w:ascii="標楷體" w:eastAsia="標楷體" w:hAnsi="標楷體" w:cs="Arial"/>
                <w:color w:val="000000"/>
              </w:rPr>
              <w:t>2.</w:t>
            </w:r>
            <w:r>
              <w:rPr>
                <w:rFonts w:ascii="標楷體" w:eastAsia="標楷體" w:hAnsi="標楷體" w:cs="Arial"/>
                <w:color w:val="000000"/>
              </w:rPr>
              <w:t>樓地板面積在一千平方公尺以上之診所。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3.</w:t>
            </w:r>
            <w:r>
              <w:rPr>
                <w:rFonts w:ascii="標楷體" w:eastAsia="標楷體" w:hAnsi="標楷體" w:cs="Arial"/>
                <w:color w:val="000000"/>
              </w:rPr>
              <w:t>樓地板面積在五百平方公尺以上之下列場所：護理之家機構（一般護理之家、精神護理之家）、產後護理機構、屬於老人福利機構之長期照顧機構（長期照護型）、長期照顧機構（失智照顧型）等類似場所。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F-2</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身心障礙福利機構（全日型住宿機構、日間服務機構、樓地板面積在五百平方公尺以上之福利中心）、身心障礙者職業訓練機構等類似場所。</w:t>
            </w:r>
          </w:p>
          <w:p w:rsidR="00EB2DD6" w:rsidRDefault="00C534E3">
            <w:pPr>
              <w:pStyle w:val="Standard"/>
              <w:spacing w:line="400" w:lineRule="exact"/>
              <w:ind w:left="240" w:hanging="240"/>
              <w:jc w:val="both"/>
              <w:rPr>
                <w:rFonts w:ascii="標楷體" w:eastAsia="標楷體" w:hAnsi="標楷體" w:cs="Arial"/>
                <w:color w:val="000000"/>
              </w:rPr>
            </w:pPr>
            <w:r>
              <w:rPr>
                <w:rFonts w:ascii="標楷體" w:eastAsia="標楷體" w:hAnsi="標楷體" w:cs="Arial"/>
                <w:color w:val="000000"/>
              </w:rPr>
              <w:t>2.</w:t>
            </w:r>
            <w:r>
              <w:rPr>
                <w:rFonts w:ascii="標楷體" w:eastAsia="標楷體" w:hAnsi="標楷體" w:cs="Arial"/>
                <w:color w:val="000000"/>
              </w:rPr>
              <w:t>啟智（聰、明）學校、盲啞學校、益智學校。</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3.</w:t>
            </w:r>
            <w:r>
              <w:rPr>
                <w:rFonts w:ascii="標楷體" w:eastAsia="標楷體" w:hAnsi="標楷體" w:cs="Arial"/>
                <w:color w:val="000000"/>
              </w:rPr>
              <w:t>日間型精神復健機構。</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F-3</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wordWrap w:val="0"/>
              <w:overflowPunct w:val="0"/>
              <w:autoSpaceDE w:val="0"/>
              <w:spacing w:line="400" w:lineRule="exact"/>
              <w:ind w:right="38"/>
              <w:jc w:val="both"/>
            </w:pPr>
            <w:r>
              <w:rPr>
                <w:rFonts w:ascii="標楷體" w:eastAsia="標楷體" w:hAnsi="標楷體" w:cs="Arial"/>
                <w:color w:val="000000"/>
              </w:rPr>
              <w:t>兒童及少年安置教養機構、幼兒園、幼兒園兼辦國民小學兒童課後照顧服務、托嬰中心、早期療育機構等類似場所。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F-4</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wordWrap w:val="0"/>
              <w:overflowPunct w:val="0"/>
              <w:autoSpaceDE w:val="0"/>
              <w:spacing w:line="400" w:lineRule="exact"/>
              <w:ind w:right="38"/>
              <w:jc w:val="both"/>
            </w:pPr>
            <w:r>
              <w:rPr>
                <w:rFonts w:ascii="標楷體" w:eastAsia="標楷體" w:hAnsi="標楷體" w:cs="Arial"/>
                <w:color w:val="000000"/>
              </w:rPr>
              <w:t>精神病院、傳染病院、勒戒所、監獄、看守所、感化院、觀護所、收容中心等類似場所。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lastRenderedPageBreak/>
              <w:t>G-1</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wordWrap w:val="0"/>
              <w:overflowPunct w:val="0"/>
              <w:autoSpaceDE w:val="0"/>
              <w:spacing w:line="400" w:lineRule="exact"/>
              <w:ind w:right="38"/>
              <w:jc w:val="both"/>
            </w:pPr>
            <w:r>
              <w:rPr>
                <w:rFonts w:ascii="標楷體" w:eastAsia="標楷體" w:hAnsi="標楷體" w:cs="Arial"/>
                <w:color w:val="000000"/>
              </w:rPr>
              <w:t>含營業廳之下列場所：金融機構、證券交易場所、金融保險機構、合作社、銀行、證券公司（證券經紀業、期貨經紀業）、票券金融機構、電信局（公司）郵局、自來水及電力公司之營業場所。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G-2</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不</w:t>
            </w:r>
            <w:r>
              <w:rPr>
                <w:rFonts w:ascii="標楷體" w:eastAsia="標楷體" w:hAnsi="標楷體" w:cs="Arial"/>
                <w:color w:val="000000"/>
              </w:rPr>
              <w:t>含營業廳之下列場所：金融機構、證券交易場所、金融保險機構、合作社、銀行、證券公司（證券經紀業、期貨經紀業）、票券金融機構、電信局（公司）郵局、自來水及電力公司。</w:t>
            </w:r>
          </w:p>
          <w:p w:rsidR="00EB2DD6" w:rsidRDefault="00C534E3">
            <w:pPr>
              <w:pStyle w:val="Standard"/>
              <w:spacing w:line="400" w:lineRule="exact"/>
              <w:ind w:left="240" w:hanging="240"/>
              <w:jc w:val="both"/>
            </w:pPr>
            <w:r>
              <w:rPr>
                <w:rFonts w:ascii="標楷體" w:eastAsia="標楷體" w:hAnsi="標楷體" w:cs="Arial"/>
                <w:color w:val="000000"/>
              </w:rPr>
              <w:t>2.</w:t>
            </w:r>
            <w:r>
              <w:rPr>
                <w:rFonts w:ascii="標楷體" w:eastAsia="標楷體" w:hAnsi="標楷體" w:cs="Arial"/>
                <w:color w:val="000000"/>
              </w:rPr>
              <w:t>政府機關（公務機關）、一般事務所、自由職業事務所、辦公室（廳）、員工文康室、旅遊及運輸業之辦公室、投資顧問業辦公室、未兼營提供電影攝影場（攝影棚）之動畫影片製作場所、有線電視及廣播電台除攝影棚外之其他用途場所、少年服務機構綜合之服務場所等類似場所。</w:t>
            </w:r>
          </w:p>
          <w:p w:rsidR="00EB2DD6" w:rsidRDefault="00C534E3">
            <w:pPr>
              <w:pStyle w:val="Standard"/>
              <w:spacing w:line="400" w:lineRule="exact"/>
              <w:ind w:left="240" w:hanging="240"/>
              <w:jc w:val="both"/>
            </w:pPr>
            <w:r>
              <w:rPr>
                <w:rFonts w:ascii="標楷體" w:eastAsia="標楷體" w:hAnsi="標楷體" w:cs="Arial"/>
                <w:color w:val="000000"/>
              </w:rPr>
              <w:t>3.</w:t>
            </w:r>
            <w:r>
              <w:rPr>
                <w:rFonts w:ascii="標楷體" w:eastAsia="標楷體" w:hAnsi="標楷體" w:cs="Arial"/>
                <w:color w:val="000000"/>
              </w:rPr>
              <w:t>提供場地供人閱讀之下列場所：Ｋ書中心、小說漫畫出租中心。</w:t>
            </w:r>
          </w:p>
          <w:p w:rsidR="00EB2DD6" w:rsidRDefault="00C534E3">
            <w:pPr>
              <w:pStyle w:val="Standard"/>
              <w:wordWrap w:val="0"/>
              <w:overflowPunct w:val="0"/>
              <w:autoSpaceDE w:val="0"/>
              <w:spacing w:line="400" w:lineRule="exact"/>
              <w:ind w:right="38"/>
              <w:jc w:val="both"/>
            </w:pPr>
            <w:r>
              <w:rPr>
                <w:rFonts w:ascii="標楷體" w:eastAsia="標楷體" w:hAnsi="標楷體" w:cs="Arial"/>
                <w:color w:val="000000"/>
              </w:rPr>
              <w:t>4.</w:t>
            </w:r>
            <w:r>
              <w:rPr>
                <w:rFonts w:ascii="標楷體" w:eastAsia="標楷體" w:hAnsi="標楷體" w:cs="Arial"/>
                <w:color w:val="000000"/>
              </w:rPr>
              <w:t>身心障礙者就業服務機構。</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G</w:t>
            </w:r>
            <w:r>
              <w:rPr>
                <w:rFonts w:ascii="標楷體" w:eastAsia="標楷體" w:hAnsi="標楷體" w:cs="Arial"/>
                <w:color w:val="000000"/>
                <w:sz w:val="28"/>
                <w:szCs w:val="28"/>
              </w:rPr>
              <w:t>-3</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right="29" w:hanging="240"/>
              <w:jc w:val="both"/>
            </w:pPr>
            <w:r>
              <w:rPr>
                <w:rFonts w:ascii="標楷體" w:eastAsia="標楷體" w:hAnsi="標楷體" w:cs="Arial"/>
                <w:color w:val="000000"/>
              </w:rPr>
              <w:t>1.</w:t>
            </w:r>
            <w:r>
              <w:rPr>
                <w:rFonts w:ascii="標楷體" w:eastAsia="標楷體" w:hAnsi="標楷體" w:cs="Arial"/>
                <w:color w:val="000000"/>
              </w:rPr>
              <w:t>衛生所（健康服務中心）、健康中心、捐血中心、醫事技術機構、牙體技術所、理髮場所（未將場所加以區隔且非包廂式為人理髮之場所）、按摩場所（未將場所加以區隔且非包廂式為人按摩之場所）、美容院、洗衣店、公共廁所、動物收容、寵物繁殖或買賣場所等類似場所。</w:t>
            </w:r>
          </w:p>
          <w:p w:rsidR="00EB2DD6" w:rsidRDefault="00C534E3">
            <w:pPr>
              <w:pStyle w:val="Standard"/>
              <w:spacing w:line="400" w:lineRule="exact"/>
              <w:ind w:left="240" w:right="29" w:hanging="240"/>
              <w:jc w:val="both"/>
            </w:pPr>
            <w:r>
              <w:rPr>
                <w:rFonts w:ascii="標楷體" w:eastAsia="標楷體" w:hAnsi="標楷體" w:cs="Arial"/>
                <w:color w:val="000000"/>
              </w:rPr>
              <w:t>2.</w:t>
            </w:r>
            <w:r>
              <w:rPr>
                <w:rFonts w:ascii="標楷體" w:eastAsia="標楷體" w:hAnsi="標楷體" w:cs="Arial"/>
                <w:color w:val="000000"/>
              </w:rPr>
              <w:t>設置病床未達十床之下列場所：醫院、療養院等類似場所。</w:t>
            </w:r>
          </w:p>
          <w:p w:rsidR="00EB2DD6" w:rsidRDefault="00C534E3">
            <w:pPr>
              <w:pStyle w:val="Standard"/>
              <w:spacing w:line="400" w:lineRule="exact"/>
              <w:ind w:left="240" w:right="29" w:hanging="240"/>
              <w:jc w:val="both"/>
            </w:pPr>
            <w:r>
              <w:rPr>
                <w:rFonts w:ascii="標楷體" w:eastAsia="標楷體" w:hAnsi="標楷體" w:cs="Arial"/>
                <w:color w:val="000000"/>
              </w:rPr>
              <w:t>3.</w:t>
            </w:r>
            <w:r>
              <w:rPr>
                <w:rFonts w:ascii="標楷體" w:eastAsia="標楷體" w:hAnsi="標楷體" w:cs="Arial"/>
                <w:color w:val="000000"/>
              </w:rPr>
              <w:t>樓地板面積未達一千平方公尺之診所。</w:t>
            </w:r>
          </w:p>
          <w:p w:rsidR="00EB2DD6" w:rsidRDefault="00C534E3">
            <w:pPr>
              <w:pStyle w:val="Standard"/>
              <w:spacing w:line="400" w:lineRule="exact"/>
              <w:ind w:left="240" w:right="29" w:hanging="240"/>
              <w:jc w:val="both"/>
            </w:pPr>
            <w:r>
              <w:rPr>
                <w:rFonts w:ascii="標楷體" w:eastAsia="標楷體" w:hAnsi="標楷體" w:cs="Arial"/>
                <w:color w:val="000000"/>
              </w:rPr>
              <w:t>4.</w:t>
            </w:r>
            <w:r>
              <w:rPr>
                <w:rFonts w:ascii="標楷體" w:eastAsia="標楷體" w:hAnsi="標楷體" w:cs="Arial"/>
                <w:color w:val="000000"/>
              </w:rPr>
              <w:t>樓地板面積未達五百平方公尺之下列場所：店舖、當舖、一般零售場所、日常用品零售場所、便利商店等類似場所。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5.</w:t>
            </w:r>
            <w:r>
              <w:rPr>
                <w:rFonts w:ascii="標楷體" w:eastAsia="標楷體" w:hAnsi="標楷體" w:cs="Arial"/>
                <w:color w:val="000000"/>
                <w:spacing w:val="-6"/>
              </w:rPr>
              <w:t>樓地板面積未達三百平方公尺之下列場所：</w:t>
            </w:r>
            <w:r>
              <w:rPr>
                <w:rFonts w:ascii="標楷體" w:eastAsia="標楷體" w:hAnsi="標楷體"/>
                <w:color w:val="000000"/>
                <w:spacing w:val="-6"/>
              </w:rPr>
              <w:t>餐廳、飲食店、</w:t>
            </w:r>
            <w:r>
              <w:rPr>
                <w:rFonts w:ascii="標楷體" w:eastAsia="標楷體" w:hAnsi="標楷體" w:cs="Arial"/>
                <w:color w:val="000000"/>
                <w:spacing w:val="-6"/>
              </w:rPr>
              <w:t>飲料店（無陪侍提供非酒精飲料服務之場所，包括茶藝館、咖啡店、冰果店及冷飲店等）等類似場所。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H-1</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民宿（客房數六間以上）、宿舍、樓地板面積未達五百平方公尺之招待所。</w:t>
            </w:r>
          </w:p>
          <w:p w:rsidR="00EB2DD6" w:rsidRDefault="00C534E3">
            <w:pPr>
              <w:pStyle w:val="Standard"/>
              <w:spacing w:line="400" w:lineRule="exact"/>
              <w:ind w:left="240" w:hanging="240"/>
              <w:jc w:val="both"/>
            </w:pPr>
            <w:r>
              <w:rPr>
                <w:rFonts w:ascii="標楷體" w:eastAsia="標楷體" w:hAnsi="標楷體" w:cs="Arial"/>
                <w:color w:val="000000"/>
              </w:rPr>
              <w:t>2.</w:t>
            </w:r>
            <w:r>
              <w:rPr>
                <w:rFonts w:ascii="標楷體" w:eastAsia="標楷體" w:hAnsi="標楷體" w:cs="Arial"/>
                <w:color w:val="000000"/>
              </w:rPr>
              <w:t>樓地板面積未達五百平方公尺之下列場所：護理之家機構（一般護理之家、精神護理之家）、產後護理機構、屬於老人福利機構之長期照顧機構（長期照護型）、長期照顧機構（失智照顧型）、身心障礙福利服務中心等類似場所。</w:t>
            </w:r>
          </w:p>
          <w:p w:rsidR="00EB2DD6" w:rsidRDefault="00C534E3">
            <w:pPr>
              <w:pStyle w:val="Standard"/>
              <w:spacing w:line="400" w:lineRule="exact"/>
              <w:ind w:left="240" w:hanging="240"/>
              <w:jc w:val="both"/>
            </w:pPr>
            <w:r>
              <w:rPr>
                <w:rFonts w:ascii="標楷體" w:eastAsia="標楷體" w:hAnsi="標楷體" w:cs="Arial"/>
                <w:color w:val="000000"/>
              </w:rPr>
              <w:t>3.</w:t>
            </w:r>
            <w:r>
              <w:rPr>
                <w:rFonts w:ascii="標楷體" w:eastAsia="標楷體" w:hAnsi="標楷體" w:cs="Arial"/>
                <w:color w:val="000000"/>
              </w:rPr>
              <w:t>老人福利機構之場所：長期照顧機構（養護型）、安養機構、其他老人福利機構。</w:t>
            </w:r>
          </w:p>
          <w:p w:rsidR="00EB2DD6" w:rsidRDefault="00C534E3">
            <w:pPr>
              <w:pStyle w:val="Standard"/>
              <w:spacing w:line="400" w:lineRule="exact"/>
              <w:ind w:left="240" w:hanging="240"/>
              <w:jc w:val="both"/>
              <w:rPr>
                <w:rFonts w:ascii="標楷體" w:eastAsia="標楷體" w:hAnsi="標楷體" w:cs="Arial"/>
                <w:color w:val="000000"/>
              </w:rPr>
            </w:pPr>
            <w:r>
              <w:rPr>
                <w:rFonts w:ascii="標楷體" w:eastAsia="標楷體" w:hAnsi="標楷體" w:cs="Arial"/>
                <w:color w:val="000000"/>
              </w:rPr>
              <w:t>4.</w:t>
            </w:r>
            <w:r>
              <w:rPr>
                <w:rFonts w:ascii="標楷體" w:eastAsia="標楷體" w:hAnsi="標楷體" w:cs="Arial"/>
                <w:color w:val="000000"/>
              </w:rPr>
              <w:t>身心障礙福利機構（夜間型住宿機構）、居家護理機構。</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5.</w:t>
            </w:r>
            <w:r>
              <w:rPr>
                <w:rFonts w:ascii="標楷體" w:eastAsia="標楷體" w:hAnsi="標楷體" w:cs="Arial"/>
                <w:color w:val="000000"/>
              </w:rPr>
              <w:t>住宿型精神復健機構、社區式日間照顧及重建服務、社區式身心障礙者日間服務等類似場所。</w:t>
            </w:r>
          </w:p>
        </w:tc>
      </w:tr>
      <w:tr w:rsidR="00EB2DD6">
        <w:tblPrEx>
          <w:tblCellMar>
            <w:top w:w="0" w:type="dxa"/>
            <w:bottom w:w="0" w:type="dxa"/>
          </w:tblCellMar>
        </w:tblPrEx>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pPr>
            <w:r>
              <w:rPr>
                <w:rFonts w:ascii="標楷體" w:eastAsia="標楷體" w:hAnsi="標楷體" w:cs="Arial"/>
                <w:color w:val="000000"/>
                <w:sz w:val="28"/>
                <w:szCs w:val="28"/>
              </w:rPr>
              <w:t>H-2</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19" w:hanging="219"/>
              <w:jc w:val="both"/>
            </w:pPr>
            <w:r>
              <w:rPr>
                <w:rFonts w:ascii="標楷體" w:eastAsia="標楷體" w:hAnsi="標楷體" w:cs="Arial"/>
                <w:color w:val="000000"/>
              </w:rPr>
              <w:t>1.</w:t>
            </w:r>
            <w:r>
              <w:rPr>
                <w:rFonts w:ascii="標楷體" w:eastAsia="標楷體" w:hAnsi="標楷體" w:cs="Arial"/>
                <w:color w:val="000000"/>
              </w:rPr>
              <w:t>集合住宅、住宅、民宿（客房數五間以下）。</w:t>
            </w:r>
          </w:p>
          <w:p w:rsidR="00EB2DD6" w:rsidRDefault="00C534E3">
            <w:pPr>
              <w:pStyle w:val="Standard"/>
              <w:spacing w:line="400" w:lineRule="exact"/>
              <w:ind w:left="240" w:hanging="240"/>
              <w:jc w:val="both"/>
            </w:pPr>
            <w:r>
              <w:rPr>
                <w:rFonts w:ascii="標楷體" w:eastAsia="標楷體" w:hAnsi="標楷體" w:cs="Arial"/>
                <w:color w:val="000000"/>
              </w:rPr>
              <w:t>2.</w:t>
            </w:r>
            <w:r>
              <w:rPr>
                <w:rFonts w:ascii="標楷體" w:eastAsia="標楷體" w:hAnsi="標楷體" w:cs="Arial"/>
                <w:color w:val="000000"/>
              </w:rPr>
              <w:t>設於地面一層面積在五百平方公尺以下或設於二層至五層之任一層面積在三百平方公尺以下且樓梯寬度一點二公尺以上、分間牆及室內裝修材料符合建築技術規則現行規定之下列場所：小型安養機構、小型身心障礙者職業訓練機構、</w:t>
            </w:r>
            <w:r>
              <w:rPr>
                <w:rFonts w:ascii="標楷體" w:eastAsia="標楷體" w:hAnsi="標楷體" w:cs="Arial"/>
                <w:color w:val="000000"/>
              </w:rPr>
              <w:lastRenderedPageBreak/>
              <w:t>小型日間型精神復健機構、小型</w:t>
            </w:r>
            <w:r>
              <w:rPr>
                <w:rFonts w:ascii="標楷體" w:eastAsia="標楷體" w:hAnsi="標楷體" w:cs="Arial"/>
                <w:color w:val="000000"/>
              </w:rPr>
              <w:t>住宿型精神復健機構、小型社區式日間照顧及重建服務、小型社區式身心障礙者日間服務等類似場所。</w:t>
            </w:r>
          </w:p>
          <w:p w:rsidR="00EB2DD6" w:rsidRDefault="00C534E3">
            <w:pPr>
              <w:pStyle w:val="Standard"/>
              <w:wordWrap w:val="0"/>
              <w:overflowPunct w:val="0"/>
              <w:autoSpaceDE w:val="0"/>
              <w:spacing w:line="400" w:lineRule="exact"/>
              <w:ind w:right="38"/>
              <w:jc w:val="both"/>
            </w:pPr>
            <w:r>
              <w:rPr>
                <w:rFonts w:ascii="標楷體" w:eastAsia="標楷體" w:hAnsi="標楷體" w:cs="Arial"/>
                <w:color w:val="000000"/>
              </w:rPr>
              <w:t>3.</w:t>
            </w:r>
            <w:r>
              <w:rPr>
                <w:rFonts w:ascii="標楷體" w:eastAsia="標楷體" w:hAnsi="標楷體" w:cs="Arial"/>
                <w:color w:val="000000"/>
              </w:rPr>
              <w:t>農舍。</w:t>
            </w:r>
          </w:p>
          <w:p w:rsidR="00EB2DD6" w:rsidRDefault="00C534E3">
            <w:pPr>
              <w:pStyle w:val="Standard"/>
              <w:wordWrap w:val="0"/>
              <w:overflowPunct w:val="0"/>
              <w:autoSpaceDE w:val="0"/>
              <w:spacing w:line="400" w:lineRule="exact"/>
              <w:ind w:right="38"/>
              <w:jc w:val="both"/>
              <w:rPr>
                <w:rFonts w:ascii="標楷體" w:eastAsia="標楷體" w:hAnsi="標楷體" w:cs="Arial"/>
                <w:color w:val="000000"/>
              </w:rPr>
            </w:pPr>
            <w:r>
              <w:rPr>
                <w:rFonts w:ascii="標楷體" w:eastAsia="標楷體" w:hAnsi="標楷體" w:cs="Arial"/>
                <w:color w:val="000000"/>
              </w:rPr>
              <w:t>4.</w:t>
            </w:r>
            <w:r>
              <w:rPr>
                <w:rFonts w:ascii="標楷體" w:eastAsia="標楷體" w:hAnsi="標楷體" w:cs="Arial"/>
                <w:color w:val="000000"/>
              </w:rPr>
              <w:t>社區式家庭托顧服務、身心障礙者社區居住服務場所。</w:t>
            </w:r>
          </w:p>
        </w:tc>
      </w:tr>
      <w:tr w:rsidR="00EB2DD6">
        <w:tblPrEx>
          <w:tblCellMar>
            <w:top w:w="0" w:type="dxa"/>
            <w:bottom w:w="0" w:type="dxa"/>
          </w:tblCellMar>
        </w:tblPrEx>
        <w:trPr>
          <w:trHeight w:val="1381"/>
        </w:trPr>
        <w:tc>
          <w:tcPr>
            <w:tcW w:w="11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EB2DD6" w:rsidRDefault="00C534E3">
            <w:pPr>
              <w:pStyle w:val="Standard"/>
              <w:wordWrap w:val="0"/>
              <w:overflowPunct w:val="0"/>
              <w:autoSpaceDE w:val="0"/>
              <w:snapToGrid w:val="0"/>
              <w:spacing w:line="200" w:lineRule="atLeast"/>
              <w:jc w:val="center"/>
              <w:rPr>
                <w:rFonts w:ascii="標楷體" w:eastAsia="標楷體" w:hAnsi="標楷體" w:cs="Arial"/>
                <w:color w:val="000000"/>
                <w:sz w:val="28"/>
                <w:szCs w:val="28"/>
              </w:rPr>
            </w:pPr>
            <w:r>
              <w:rPr>
                <w:rFonts w:ascii="標楷體" w:eastAsia="標楷體" w:hAnsi="標楷體" w:cs="Arial"/>
                <w:color w:val="000000"/>
                <w:sz w:val="28"/>
                <w:szCs w:val="28"/>
              </w:rPr>
              <w:lastRenderedPageBreak/>
              <w:t>I</w:t>
            </w:r>
          </w:p>
        </w:tc>
        <w:tc>
          <w:tcPr>
            <w:tcW w:w="84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B2DD6" w:rsidRDefault="00C534E3">
            <w:pPr>
              <w:pStyle w:val="Standard"/>
              <w:spacing w:line="400" w:lineRule="exact"/>
              <w:ind w:left="240" w:hanging="240"/>
              <w:jc w:val="both"/>
            </w:pPr>
            <w:r>
              <w:rPr>
                <w:rFonts w:ascii="標楷體" w:eastAsia="標楷體" w:hAnsi="標楷體" w:cs="Arial"/>
                <w:color w:val="000000"/>
              </w:rPr>
              <w:t>1.</w:t>
            </w:r>
            <w:r>
              <w:rPr>
                <w:rFonts w:ascii="標楷體" w:eastAsia="標楷體" w:hAnsi="標楷體" w:cs="Arial"/>
                <w:color w:val="000000"/>
              </w:rPr>
              <w:t>化工原料行、礦油行、瓦斯行、石油煉製廠、爆竹煙火製造儲存販賣場所、液化石油氣分裝場、液化石油氣容器儲存室、液化石油氣鋼瓶檢驗機構（場）等類似場所。</w:t>
            </w:r>
          </w:p>
          <w:p w:rsidR="00EB2DD6" w:rsidRDefault="00C534E3">
            <w:pPr>
              <w:pStyle w:val="Standard"/>
              <w:wordWrap w:val="0"/>
              <w:overflowPunct w:val="0"/>
              <w:autoSpaceDE w:val="0"/>
              <w:spacing w:line="400" w:lineRule="exact"/>
              <w:ind w:left="240" w:right="38" w:hanging="240"/>
              <w:jc w:val="both"/>
            </w:pPr>
            <w:r>
              <w:rPr>
                <w:rFonts w:ascii="標楷體" w:eastAsia="標楷體" w:hAnsi="標楷體" w:cs="Arial"/>
                <w:color w:val="000000"/>
              </w:rPr>
              <w:t>2.</w:t>
            </w:r>
            <w:r>
              <w:rPr>
                <w:rFonts w:ascii="標楷體" w:eastAsia="標楷體" w:hAnsi="標楷體" w:cs="Arial"/>
                <w:color w:val="000000"/>
              </w:rPr>
              <w:t>加油（氣）站、儲存石油廠庫、天然氣加壓站、天然氣製造場等類似場所。</w:t>
            </w:r>
          </w:p>
        </w:tc>
      </w:tr>
    </w:tbl>
    <w:p w:rsidR="00EB2DD6" w:rsidRDefault="00EB2DD6">
      <w:pPr>
        <w:pStyle w:val="Standard"/>
        <w:spacing w:line="460" w:lineRule="exact"/>
        <w:jc w:val="both"/>
        <w:rPr>
          <w:rFonts w:ascii="標楷體" w:eastAsia="標楷體" w:hAnsi="標楷體" w:cs="標楷體"/>
          <w:color w:val="000000"/>
          <w:sz w:val="28"/>
          <w:szCs w:val="28"/>
        </w:rPr>
      </w:pPr>
    </w:p>
    <w:sectPr w:rsidR="00EB2DD6">
      <w:footerReference w:type="default" r:id="rId8"/>
      <w:pgSz w:w="11906" w:h="16838"/>
      <w:pgMar w:top="851" w:right="1134" w:bottom="1048" w:left="1134"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34E3">
      <w:pPr>
        <w:rPr>
          <w:rFonts w:hint="eastAsia"/>
        </w:rPr>
      </w:pPr>
      <w:r>
        <w:separator/>
      </w:r>
    </w:p>
  </w:endnote>
  <w:endnote w:type="continuationSeparator" w:id="0">
    <w:p w:rsidR="00000000" w:rsidRDefault="00C534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1"/>
    <w:family w:val="roman"/>
    <w:notTrueType/>
    <w:pitch w:val="variable"/>
    <w:sig w:usb0="00002000" w:usb1="00000000" w:usb2="00000000" w:usb3="00000000" w:csb0="00000000"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4B" w:rsidRDefault="00C534E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C1104B" w:rsidRDefault="00C534E3">
                          <w:pPr>
                            <w:pStyle w:val="a7"/>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" stroked="f">
              <v:fill opacity="0"/>
              <v:textbox style="mso-fit-shape-to-text:t" inset="0,0,0,0">
                <w:txbxContent>
                  <w:p w:rsidR="00C1104B" w:rsidRDefault="00C534E3">
                    <w:pPr>
                      <w:pStyle w:val="a7"/>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34E3">
      <w:pPr>
        <w:rPr>
          <w:rFonts w:hint="eastAsia"/>
        </w:rPr>
      </w:pPr>
      <w:r>
        <w:rPr>
          <w:color w:val="000000"/>
        </w:rPr>
        <w:separator/>
      </w:r>
    </w:p>
  </w:footnote>
  <w:footnote w:type="continuationSeparator" w:id="0">
    <w:p w:rsidR="00000000" w:rsidRDefault="00C534E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E64"/>
    <w:multiLevelType w:val="multilevel"/>
    <w:tmpl w:val="FB9E8B86"/>
    <w:styleLink w:val="WW8Num6"/>
    <w:lvl w:ilvl="0">
      <w:start w:val="1"/>
      <w:numFmt w:val="japaneseCounting"/>
      <w:lvlText w:val="%1、"/>
      <w:lvlJc w:val="left"/>
      <w:rPr>
        <w:lang w:val="en-US"/>
      </w:rPr>
    </w:lvl>
    <w:lvl w:ilvl="1">
      <w:start w:val="1"/>
      <w:numFmt w:val="japaneseCounting"/>
      <w:lvlText w:val="（%2）"/>
      <w:lvlJc w:val="left"/>
      <w:rPr>
        <w:lang w:val="en-US"/>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6805F66"/>
    <w:multiLevelType w:val="multilevel"/>
    <w:tmpl w:val="304ADFE4"/>
    <w:styleLink w:val="WW8Num2"/>
    <w:lvl w:ilvl="0">
      <w:start w:val="3"/>
      <w:numFmt w:val="decimal"/>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9D70216"/>
    <w:multiLevelType w:val="multilevel"/>
    <w:tmpl w:val="63985A20"/>
    <w:styleLink w:val="WW8Num5"/>
    <w:lvl w:ilvl="0">
      <w:start w:val="1"/>
      <w:numFmt w:val="japaneseCounting"/>
      <w:lvlText w:val="第%1條"/>
      <w:lvlJc w:val="left"/>
    </w:lvl>
    <w:lvl w:ilvl="1">
      <w:start w:val="1"/>
      <w:numFmt w:val="japaneseLegal"/>
      <w:lvlText w:val="%2."/>
      <w:lvlJc w:val="left"/>
      <w:rPr>
        <w:rFonts w:eastAsia="標楷體"/>
        <w:b w:val="0"/>
        <w:i w:val="0"/>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253759D"/>
    <w:multiLevelType w:val="multilevel"/>
    <w:tmpl w:val="ABB4B206"/>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512366B2"/>
    <w:multiLevelType w:val="multilevel"/>
    <w:tmpl w:val="EBA82296"/>
    <w:styleLink w:val="WW8Num4"/>
    <w:lvl w:ilvl="0">
      <w:start w:val="10"/>
      <w:numFmt w:val="decimal"/>
      <w:lvlText w:val="第%1章"/>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6DB33445"/>
    <w:multiLevelType w:val="multilevel"/>
    <w:tmpl w:val="0ECC1FE2"/>
    <w:styleLink w:val="WW8Num3"/>
    <w:lvl w:ilvl="0">
      <w:start w:val="2"/>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EB2DD6"/>
    <w:rsid w:val="00C534E3"/>
    <w:rsid w:val="00EB2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a5">
    <w:name w:val="款"/>
    <w:pPr>
      <w:tabs>
        <w:tab w:val="left" w:pos="3103"/>
      </w:tabs>
      <w:wordWrap w:val="0"/>
      <w:overflowPunct w:val="0"/>
      <w:autoSpaceDE w:val="0"/>
      <w:snapToGrid w:val="0"/>
      <w:spacing w:line="240" w:lineRule="atLeast"/>
      <w:ind w:left="943" w:hanging="583"/>
      <w:jc w:val="both"/>
    </w:pPr>
    <w:rPr>
      <w:rFonts w:ascii="標楷體" w:eastAsia="標楷體" w:hAnsi="標楷體" w:cs="標楷體"/>
      <w:color w:val="000000"/>
      <w:sz w:val="20"/>
      <w:szCs w:val="20"/>
      <w:u w:val="single"/>
      <w:lang w:bidi="ar-SA"/>
    </w:rPr>
  </w:style>
  <w:style w:type="paragraph" w:styleId="a6">
    <w:name w:val="Balloon Text"/>
    <w:basedOn w:val="Standard"/>
    <w:rPr>
      <w:rFonts w:ascii="Arial" w:hAnsi="Arial" w:cs="Arial"/>
      <w:sz w:val="18"/>
      <w:szCs w:val="18"/>
    </w:rPr>
  </w:style>
  <w:style w:type="paragraph" w:styleId="a7">
    <w:name w:val="footer"/>
    <w:basedOn w:val="Standard"/>
    <w:pPr>
      <w:tabs>
        <w:tab w:val="center" w:pos="4153"/>
        <w:tab w:val="right" w:pos="8306"/>
      </w:tabs>
      <w:snapToGrid w:val="0"/>
    </w:pPr>
    <w:rPr>
      <w:sz w:val="20"/>
      <w:szCs w:val="20"/>
    </w:rPr>
  </w:style>
  <w:style w:type="paragraph" w:styleId="a8">
    <w:name w:val="header"/>
    <w:basedOn w:val="Standard"/>
    <w:pPr>
      <w:widowControl w:val="0"/>
      <w:tabs>
        <w:tab w:val="center" w:pos="4153"/>
        <w:tab w:val="right" w:pos="8306"/>
      </w:tabs>
      <w:snapToGrid w:val="0"/>
    </w:pPr>
    <w:rPr>
      <w:sz w:val="20"/>
      <w:szCs w:val="20"/>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eastAsia="標楷體"/>
      <w:b w:val="0"/>
      <w:i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alloonTextChar">
    <w:name w:val="Balloon Text Char"/>
    <w:basedOn w:val="a0"/>
    <w:rPr>
      <w:rFonts w:ascii="Arial" w:eastAsia="新細明體, PMingLiU" w:hAnsi="Arial" w:cs="Arial"/>
      <w:sz w:val="18"/>
      <w:szCs w:val="18"/>
      <w:lang w:val="en-US" w:eastAsia="zh-TW" w:bidi="ar-SA"/>
    </w:rPr>
  </w:style>
  <w:style w:type="character" w:styleId="a9">
    <w:name w:val="page number"/>
    <w:basedOn w:val="a0"/>
  </w:style>
  <w:style w:type="character" w:customStyle="1" w:styleId="HeaderChar">
    <w:name w:val="Header Char"/>
    <w:basedOn w:val="a0"/>
    <w:rPr>
      <w:rFonts w:eastAsia="新細明體, PMingLiU"/>
      <w:kern w:val="3"/>
      <w:lang w:val="en-US" w:eastAsia="zh-TW" w:bidi="ar-SA"/>
    </w:rPr>
  </w:style>
  <w:style w:type="character" w:customStyle="1" w:styleId="Internetlink">
    <w:name w:val="Internet link"/>
    <w:basedOn w:val="a0"/>
    <w:rPr>
      <w:strike w:val="0"/>
      <w:dstrike w:val="0"/>
      <w:color w:val="0000FF"/>
      <w:u w:val="none"/>
    </w:rPr>
  </w:style>
  <w:style w:type="character" w:customStyle="1" w:styleId="1">
    <w:name w:val="字元 字元1"/>
    <w:basedOn w:val="a0"/>
    <w:rPr>
      <w:rFonts w:ascii="Arial" w:eastAsia="新細明體, PMingLiU" w:hAnsi="Arial" w:cs="Arial"/>
      <w:sz w:val="18"/>
      <w:szCs w:val="18"/>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a5">
    <w:name w:val="款"/>
    <w:pPr>
      <w:tabs>
        <w:tab w:val="left" w:pos="3103"/>
      </w:tabs>
      <w:wordWrap w:val="0"/>
      <w:overflowPunct w:val="0"/>
      <w:autoSpaceDE w:val="0"/>
      <w:snapToGrid w:val="0"/>
      <w:spacing w:line="240" w:lineRule="atLeast"/>
      <w:ind w:left="943" w:hanging="583"/>
      <w:jc w:val="both"/>
    </w:pPr>
    <w:rPr>
      <w:rFonts w:ascii="標楷體" w:eastAsia="標楷體" w:hAnsi="標楷體" w:cs="標楷體"/>
      <w:color w:val="000000"/>
      <w:sz w:val="20"/>
      <w:szCs w:val="20"/>
      <w:u w:val="single"/>
      <w:lang w:bidi="ar-SA"/>
    </w:rPr>
  </w:style>
  <w:style w:type="paragraph" w:styleId="a6">
    <w:name w:val="Balloon Text"/>
    <w:basedOn w:val="Standard"/>
    <w:rPr>
      <w:rFonts w:ascii="Arial" w:hAnsi="Arial" w:cs="Arial"/>
      <w:sz w:val="18"/>
      <w:szCs w:val="18"/>
    </w:rPr>
  </w:style>
  <w:style w:type="paragraph" w:styleId="a7">
    <w:name w:val="footer"/>
    <w:basedOn w:val="Standard"/>
    <w:pPr>
      <w:tabs>
        <w:tab w:val="center" w:pos="4153"/>
        <w:tab w:val="right" w:pos="8306"/>
      </w:tabs>
      <w:snapToGrid w:val="0"/>
    </w:pPr>
    <w:rPr>
      <w:sz w:val="20"/>
      <w:szCs w:val="20"/>
    </w:rPr>
  </w:style>
  <w:style w:type="paragraph" w:styleId="a8">
    <w:name w:val="header"/>
    <w:basedOn w:val="Standard"/>
    <w:pPr>
      <w:widowControl w:val="0"/>
      <w:tabs>
        <w:tab w:val="center" w:pos="4153"/>
        <w:tab w:val="right" w:pos="8306"/>
      </w:tabs>
      <w:snapToGrid w:val="0"/>
    </w:pPr>
    <w:rPr>
      <w:sz w:val="20"/>
      <w:szCs w:val="20"/>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eastAsia="標楷體"/>
      <w:b w:val="0"/>
      <w:i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alloonTextChar">
    <w:name w:val="Balloon Text Char"/>
    <w:basedOn w:val="a0"/>
    <w:rPr>
      <w:rFonts w:ascii="Arial" w:eastAsia="新細明體, PMingLiU" w:hAnsi="Arial" w:cs="Arial"/>
      <w:sz w:val="18"/>
      <w:szCs w:val="18"/>
      <w:lang w:val="en-US" w:eastAsia="zh-TW" w:bidi="ar-SA"/>
    </w:rPr>
  </w:style>
  <w:style w:type="character" w:styleId="a9">
    <w:name w:val="page number"/>
    <w:basedOn w:val="a0"/>
  </w:style>
  <w:style w:type="character" w:customStyle="1" w:styleId="HeaderChar">
    <w:name w:val="Header Char"/>
    <w:basedOn w:val="a0"/>
    <w:rPr>
      <w:rFonts w:eastAsia="新細明體, PMingLiU"/>
      <w:kern w:val="3"/>
      <w:lang w:val="en-US" w:eastAsia="zh-TW" w:bidi="ar-SA"/>
    </w:rPr>
  </w:style>
  <w:style w:type="character" w:customStyle="1" w:styleId="Internetlink">
    <w:name w:val="Internet link"/>
    <w:basedOn w:val="a0"/>
    <w:rPr>
      <w:strike w:val="0"/>
      <w:dstrike w:val="0"/>
      <w:color w:val="0000FF"/>
      <w:u w:val="none"/>
    </w:rPr>
  </w:style>
  <w:style w:type="character" w:customStyle="1" w:styleId="1">
    <w:name w:val="字元 字元1"/>
    <w:basedOn w:val="a0"/>
    <w:rPr>
      <w:rFonts w:ascii="Arial" w:eastAsia="新細明體, PMingLiU" w:hAnsi="Arial" w:cs="Arial"/>
      <w:sz w:val="18"/>
      <w:szCs w:val="18"/>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2754</Characters>
  <Application>Microsoft Office Word</Application>
  <DocSecurity>0</DocSecurity>
  <Lines>22</Lines>
  <Paragraphs>6</Paragraphs>
  <ScaleCrop>false</ScaleCrop>
  <Company>Hewlett-Packard Company</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建築物使用類組及變更使用辦法第二條附表二、第三條附表三、第四條附表四修正草案總說明</dc:title>
  <dc:creator>moi5693</dc:creator>
  <cp:lastModifiedBy>Hewlett-Packard Company</cp:lastModifiedBy>
  <cp:revision>1</cp:revision>
  <cp:lastPrinted>2013-06-10T15:43:00Z</cp:lastPrinted>
  <dcterms:created xsi:type="dcterms:W3CDTF">2013-06-27T17:43:00Z</dcterms:created>
  <dcterms:modified xsi:type="dcterms:W3CDTF">2018-07-11T01:44:00Z</dcterms:modified>
</cp:coreProperties>
</file>